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 xml:space="preserve">Three formats carry buffer status to the gateway. The short status report carries the status of one channel group in a buffer size field of 8 bits. The extended short status report also carries the status of one channel group, in a buffer size field of 11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 xml:space="preserve">Every packet starts with the header fields of Table 1, in order. Each length field gives the length of the field that follows it.</w:t>
      </w:r>
    </w:p>
    <w:p>
      <w:r>
        <w:rPr>
          <w:b/>
        </w:rPr>
        <w:t xml:space="preserve"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Field</w:t>
            </w:r>
          </w:p>
        </w:tc>
        <w:tc>
          <w:tcPr>
            <w:tcW w:type="dxa" w:w="4320"/>
          </w:tcPr>
          <w:p>
            <w:r>
              <w:t xml:space="preserve">Length (bits)</w:t>
            </w:r>
          </w:p>
        </w:tc>
      </w:tr>
      <w:tr>
        <w:tc>
          <w:tcPr>
            <w:tcW w:type="dxa" w:w="4320"/>
          </w:tcPr>
          <w:p>
            <w:r>
              <w:t xml:space="preserve">Version</w:t>
            </w:r>
          </w:p>
        </w:tc>
        <w:tc>
          <w:tcPr>
            <w:tcW w:type="dxa" w:w="4320"/>
          </w:tcPr>
          <w:p>
            <w:r>
              <w:t xml:space="preserve">13</w:t>
            </w:r>
          </w:p>
        </w:tc>
      </w:tr>
      <w:tr>
        <w:tc>
          <w:tcPr>
            <w:tcW w:type="dxa" w:w="4320"/>
          </w:tcPr>
          <w:p>
            <w:r>
              <w:t xml:space="preserve">Session ID Length</w:t>
            </w:r>
          </w:p>
        </w:tc>
        <w:tc>
          <w:tcPr>
            <w:tcW w:type="dxa" w:w="4320"/>
          </w:tcPr>
          <w:p>
            <w:r>
              <w:t xml:space="preserve">14</w:t>
            </w:r>
          </w:p>
        </w:tc>
      </w:tr>
      <w:tr>
        <w:tc>
          <w:tcPr>
            <w:tcW w:type="dxa" w:w="4320"/>
          </w:tcPr>
          <w:p>
            <w:r>
              <w:t xml:space="preserve">Session ID</w:t>
            </w:r>
          </w:p>
        </w:tc>
        <w:tc>
          <w:tcPr>
            <w:tcW w:type="dxa" w:w="4320"/>
          </w:tcPr>
          <w:p>
            <w:r>
              <w:t xml:space="preserve">up to 173</w:t>
            </w:r>
          </w:p>
        </w:tc>
      </w:tr>
      <w:tr>
        <w:tc>
          <w:tcPr>
            <w:tcW w:type="dxa" w:w="4320"/>
          </w:tcPr>
          <w:p>
            <w:r>
              <w:t xml:space="preserve">Packet Number Length</w:t>
            </w:r>
          </w:p>
        </w:tc>
        <w:tc>
          <w:tcPr>
            <w:tcW w:type="dxa" w:w="4320"/>
          </w:tcPr>
          <w:p>
            <w:r>
              <w:t xml:space="preserve">9</w:t>
            </w:r>
          </w:p>
        </w:tc>
      </w:tr>
      <w:tr>
        <w:tc>
          <w:tcPr>
            <w:tcW w:type="dxa" w:w="4320"/>
          </w:tcPr>
          <w:p>
            <w:r>
              <w:t xml:space="preserve">Packet Number</w:t>
            </w:r>
          </w:p>
        </w:tc>
        <w:tc>
          <w:tcPr>
            <w:tcW w:type="dxa" w:w="4320"/>
          </w:tcPr>
          <w:p>
            <w:r>
              <w:t xml:space="preserve"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 xml:space="preserve">The measurement report contains, in this order:</w:t>
      </w:r>
    </w:p>
    <w:p>
      <w:r>
        <w:t xml:space="preserve">– the serving cell index, 12 bits;</w:t>
      </w:r>
    </w:p>
    <w:p>
      <w:r>
        <w:t xml:space="preserve">– the beam index, 18 bits;</w:t>
      </w:r>
    </w:p>
    <w:p>
      <w:r>
        <w:t xml:space="preserve">– the received signal strength, 16 bits;</w:t>
      </w:r>
    </w:p>
    <w:p>
      <w:r>
        <w:t xml:space="preserve">– the timing advance, 10 bits.</w:t>
      </w:r>
    </w:p>
    <w:p>
      <w:pPr>
        <w:pStyle w:val="Heading1"/>
      </w:pPr>
      <w:r>
        <w:t>4 Link Failure Detection</w:t>
      </w:r>
    </w:p>
    <w:p>
      <w:r>
        <w:t xml:space="preserve">A link failure is declared when any of the following conditions holds.</w:t>
      </w:r>
    </w:p>
    <w:p>
      <w:pPr>
        <w:numPr>
          <w:ilvl w:val="0"/>
          <w:numId w:val="10"/>
        </w:numPr>
      </w:pPr>
      <w:r>
        <w:t xml:space="preserve">no acknowledgement is received within 856 ms.</w:t>
      </w:r>
    </w:p>
    <w:p>
      <w:pPr>
        <w:numPr>
          <w:ilvl w:val="0"/>
          <w:numId w:val="10"/>
        </w:numPr>
      </w:pPr>
      <w:r>
        <w:t xml:space="preserve">21 consecutive retransmissions fail.</w:t>
      </w:r>
    </w:p>
    <w:p>
      <w:pPr>
        <w:numPr>
          <w:ilvl w:val="0"/>
          <w:numId w:val="10"/>
        </w:numPr>
      </w:pPr>
      <w:r>
        <w:t xml:space="preserve">the signal-to-noise ratio stays below 4.3 dB for 60 s.</w:t>
      </w:r>
    </w:p>
    <w:p>
      <w:pPr>
        <w:pStyle w:val="Heading1"/>
      </w:pPr>
      <w:r>
        <w:t>5 Timers by Link State</w:t>
      </w:r>
    </w:p>
    <w:p>
      <w:r>
        <w:t xml:space="preserve">When the link is congested, the following values apply.</w:t>
      </w:r>
    </w:p>
    <w:p>
      <w:r>
        <w:t xml:space="preserve">The retransmission timer is 709 ms. The send window is 145 packets.</w:t>
      </w:r>
    </w:p>
    <w:p>
      <w:r>
        <w:t xml:space="preserve">When the link is idle, the following values apply.</w:t>
      </w:r>
    </w:p>
    <w:p>
      <w:r>
        <w:t xml:space="preserve"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Condition %1: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