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Hall C: Energy by End Use</w:t>
      </w:r>
    </w:p>
    <w:p>
      <w:pPr>
        <w:pStyle w:val="Heading1"/>
      </w:pPr>
      <w:r>
        <w:t>1 Energy by End Use</w:t>
      </w:r>
    </w:p>
    <w:p>
      <w:r>
        <w:t>Over the cooling season, Hall C's cooling uses 1,375 MWh, its fans 350 MWh and its lighting 200 MWh, as Figure 1 shows month by month. Figure 2 compares the two cooling options' peak loads.</w:t>
      </w:r>
    </w:p>
    <w:p>
      <w:r>
        <w:drawing>
          <wp:inline xmlns:a="http://schemas.openxmlformats.org/drawingml/2006/main" xmlns:pic="http://schemas.openxmlformats.org/drawingml/2006/picture">
            <wp:extent cx="6146800" cy="2666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6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Hall C monthly energy by end use, May to October</w:t>
      </w:r>
    </w:p>
    <w:p>
      <w:pPr>
        <w:pStyle w:val="Heading1"/>
      </w:pPr>
      <w:r>
        <w:t>2 Peak Loads</w:t>
      </w:r>
    </w:p>
    <w:p>
      <w:r>
        <w:t>The two options' peak loads follow the season, rising to midsummer and falling after it.</w:t>
      </w:r>
    </w:p>
    <w:p>
      <w:r>
        <w:drawing>
          <wp:inline xmlns:a="http://schemas.openxmlformats.org/drawingml/2006/main" xmlns:pic="http://schemas.openxmlformats.org/drawingml/2006/picture">
            <wp:extent cx="6146800" cy="2671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7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Monthly peak cooling load of the two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