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Теорема</w:t>
      </w:r>
      <w:r>
        <w:t xml:space="preserve"> </w:t>
      </w:r>
      <w:r>
        <w:t xml:space="preserve">о</w:t>
      </w:r>
      <w:r>
        <w:t xml:space="preserve"> </w:t>
      </w:r>
      <w:r>
        <w:t xml:space="preserve">прогнозе</w:t>
      </w:r>
      <w:r>
        <w:t xml:space="preserve"> </w:t>
      </w:r>
      <w:r>
        <w:t xml:space="preserve">разнообразия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</w:t>
      </w:r>
    </w:p>
    <w:p>
      <w:pPr>
        <w:pStyle w:val="BodyText"/>
      </w:pPr>
      <w:r>
        <w:t xml:space="preserve">Исследовать теорему о прогнозе разнообразия.</w:t>
      </w:r>
    </w:p>
    <w:p>
      <w:pPr>
        <w:pStyle w:val="BodyText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</w:pPr>
      <w:r>
        <w:t xml:space="preserve">Описать понятие</w:t>
      </w:r>
      <w:r>
        <w:t xml:space="preserve"> </w:t>
      </w:r>
      <w:r>
        <w:t xml:space="preserve">“</w:t>
      </w:r>
      <w:r>
        <w:t xml:space="preserve">мудрость толпы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Дать теоретическое описание теоремы о прогнозе разнообразия;</w:t>
      </w:r>
    </w:p>
    <w:p>
      <w:pPr>
        <w:numPr>
          <w:ilvl w:val="0"/>
          <w:numId w:val="1001"/>
        </w:numPr>
      </w:pPr>
      <w:r>
        <w:t xml:space="preserve">Привести пример, показывающий работу теоремы;</w:t>
      </w:r>
    </w:p>
    <w:p>
      <w:pPr>
        <w:numPr>
          <w:ilvl w:val="0"/>
          <w:numId w:val="1001"/>
        </w:numPr>
      </w:pPr>
      <w:r>
        <w:t xml:space="preserve">Показать практическую реализацию расчетов по теореме о прогнозе разнообразия на языке программирования Julia.</w:t>
      </w:r>
    </w:p>
    <w:p>
      <w:pPr>
        <w:pStyle w:val="FirstParagraph"/>
      </w:pPr>
      <w:r>
        <w:rPr>
          <w:bCs/>
          <w:b/>
        </w:rPr>
        <w:t xml:space="preserve">Актуальность</w:t>
      </w:r>
    </w:p>
    <w:p>
      <w:pPr>
        <w:pStyle w:val="BodyText"/>
      </w:pPr>
      <w:r>
        <w:t xml:space="preserve">При составлении численного прогноза, особенно в таких контекстах, как прогнозирование увеличения продаж, полезно объединить различные оценки. Коллективное понимание группы часто сравнивает ошибки и превосходит точку зрения только одного человека.</w:t>
      </w:r>
    </w:p>
    <w:p>
      <w:pPr>
        <w:pStyle w:val="BodyText"/>
      </w:pPr>
      <w:r>
        <w:t xml:space="preserve">Коллективное понимание, или концепция</w:t>
      </w:r>
      <w:r>
        <w:t xml:space="preserve"> </w:t>
      </w:r>
      <w:r>
        <w:t xml:space="preserve">“</w:t>
      </w:r>
      <w:r>
        <w:t xml:space="preserve">дебошир превосходит среднее значение</w:t>
      </w:r>
      <w:r>
        <w:t xml:space="preserve">”</w:t>
      </w:r>
      <w:r>
        <w:t xml:space="preserve">, предполагает, что объединенные суждения группы, как правило, более точны, чем индивидуальные оценки. Это происходит в первую очередь из-за баланса завышенных и заниженных оценок.</w:t>
      </w:r>
    </w:p>
    <w:p>
      <w:pPr>
        <w:pStyle w:val="BodyText"/>
      </w:pPr>
      <w:r>
        <w:t xml:space="preserve">Теорема о прогнозе разнообразия применима к моделям, которые делают численные прогнозы или оценки. Она количественно оценивает</w:t>
      </w:r>
      <w:r>
        <w:t xml:space="preserve"> </w:t>
      </w:r>
      <w:r>
        <w:t xml:space="preserve">влияние точности моделей и их разнообразия на точность их среднего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эксперимент-гальто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Эксперимент Гальтона</w:t>
      </w:r>
    </w:p>
    <w:p>
      <w:pPr>
        <w:pStyle w:val="FirstParagraph"/>
      </w:pPr>
      <w:r>
        <w:t xml:space="preserve">В 1906 г. в городе Плимут (Великобритания) на сельской ярмарке был проведен эксперимент. Френсис Гальтон в качестве развлечения посетителей ярмарки предложил на глаз оценить вес выставленного на всеобщее обозрение быка и написать эту цифру на специальном билете. За правильные ответы организаторы шоу обещали призы. В результате в голосовании приняли участие около 800 человек — как заядлых фермеров, так и людей, далеких от скотоводческих дел. Собрав после этой ярмарки все билеты для анализа, Гальтон высчитал среднее арифметическое значение для всей выборки — 1197 фунтов. Реальный же вес быка оказался 1198 фунтов (543,4 кг). Каким-то непостижимым образом разношерстная публика дала ответ, максимально приближенный к реальному показателю. Т.е. ответ публики был точнее чем ответ отдельно взятого эксперта, например мясника или скотовода. Гальтон, который до этого свято верил в селекцию и превосходство одних людей над другими, был вынужден сменить вектор своих исследований.</w:t>
      </w:r>
    </w:p>
    <w:p>
      <w:pPr>
        <w:pStyle w:val="BodyText"/>
      </w:pPr>
      <w:r>
        <w:t xml:space="preserve">С тех пор Френсис Гальтон изменил своё мнение по поводу мудрости толпы, он сказал:</w:t>
      </w:r>
    </w:p>
    <w:p>
      <w:pPr>
        <w:pStyle w:val="BlockText"/>
      </w:pPr>
      <w:r>
        <w:t xml:space="preserve">“</w:t>
      </w:r>
      <w:r>
        <w:t xml:space="preserve">Результат кажется более достойным доверия к демократическому суждению, чем можно было ожидать.</w:t>
      </w:r>
      <w:r>
        <w:t xml:space="preserve">”</w:t>
      </w:r>
    </w:p>
    <w:bookmarkEnd w:id="21"/>
    <w:bookmarkStart w:id="23" w:name="мудрость-толп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Мудрость толпы</w:t>
      </w:r>
    </w:p>
    <w:p>
      <w:pPr>
        <w:pStyle w:val="FirstParagraph"/>
      </w:pPr>
      <w:r>
        <w:t xml:space="preserve">Мудрость толпы: почему многие умнее немногих и как коллективная мудрость формирует бизнес, экономику, общества и нации, опубликованная в 2004 году, представляет собой книгу, написанную Джеймсом Суровецким об объединении информации в группах, что приводит к решениям, которые, по его утверждению, часто оказываются лучше, чем могли бы быть приняты любым отдельным членом группы. В книге представлены многочисленные тематические исследования и анекдоты, иллюстрирующие ее аргументацию, и затрагиваются несколько областей, в первую очередь экономика и психология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Вступительный анекдот рассказывает об удивлении Фрэнсиса Гальтона по поводу того, что толпа на окружной ярмарке точно угадала вес быка, когда их индивидуальные предположения были усреднены (среднее значение было ближе к истинному весу разделанного быка, чем оценки большинства участников толпы)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Мудрость толпы - это коллективное мнение группы людей, а не одного эксперта.</w:t>
      </w:r>
    </w:p>
    <w:p>
      <w:pPr>
        <w:pStyle w:val="BodyText"/>
      </w:pPr>
      <w:r>
        <w:t xml:space="preserve">Исследования</w:t>
      </w:r>
      <w:r>
        <w:t xml:space="preserve"> </w:t>
      </w:r>
      <w:r>
        <w:t xml:space="preserve">“</w:t>
      </w:r>
      <w:r>
        <w:t xml:space="preserve">Мудрости толпы</w:t>
      </w:r>
      <w:r>
        <w:t xml:space="preserve">”</w:t>
      </w:r>
      <w:r>
        <w:t xml:space="preserve"> </w:t>
      </w:r>
      <w:r>
        <w:t xml:space="preserve">обычно объясняют превосходство средних значений толпы над индивидуальными суждениями устранением индивидуального шума - объяснение, предполагающее независимость индивидуальных суждений друг от друга.</w:t>
      </w:r>
      <w:r>
        <w:t xml:space="preserve"> </w:t>
      </w:r>
      <w:r>
        <w:t xml:space="preserve">Таким образом, толпа склонна принимать наилучшие решения, если она состоит из различных мнений и идеологий.</w:t>
      </w:r>
    </w:p>
    <w:p>
      <w:pPr>
        <w:pStyle w:val="BodyText"/>
      </w:pPr>
      <w:r>
        <w:t xml:space="preserve">Не все толпы (группы) обладают</w:t>
      </w:r>
      <w:r>
        <w:t xml:space="preserve"> </w:t>
      </w:r>
      <w:r>
        <w:t xml:space="preserve">“</w:t>
      </w:r>
      <w:r>
        <w:t xml:space="preserve">мудростью</w:t>
      </w:r>
      <w:r>
        <w:t xml:space="preserve">”</w:t>
      </w:r>
      <w:r>
        <w:t xml:space="preserve">. Рассмотрим, например, толпы или обезумевших инвесторов в пузыре на фондовом рынке. Согласно Суровецкому, эти ключевые критерии отделяют мудрые толпы от иррациональных (см. в табл. 1):</w:t>
      </w:r>
    </w:p>
    <w:bookmarkStart w:id="22" w:name="tbl:wis"/>
    <w:p>
      <w:pPr>
        <w:pStyle w:val="TableCaption"/>
      </w:pPr>
      <w:r>
        <w:t xml:space="preserve">Таблица 1: Пять элементов, необходимых для формирования мудрой толпы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Пять элементов, необходимых для формирования мудрой толпы"/>
      </w:tblPr>
      <w:tblGrid>
        <w:gridCol w:w="1689"/>
        <w:gridCol w:w="62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Критерии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Разнообразие мнений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 каждого человека должна быть личная информация, даже если это просто эксцентричная интерпретация известных фактов.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Независимость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Мнения людей не определяются мнениями окружающих.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Децентрализация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Люди могут специализироваться и использовать местные знания.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Агрегация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Существует некоторый механизм для превращения частных суждений в коллективное решение.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Доверие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Каждый человек верит, что коллективная группа справедлива.</w:t>
            </w:r>
          </w:p>
        </w:tc>
      </w:tr>
    </w:tbl>
    <w:bookmarkEnd w:id="22"/>
    <w:bookmarkEnd w:id="23"/>
    <w:bookmarkStart w:id="24" w:name="теорема-о-прогнозе-разнообраз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Теорема о прогнозе разнообразия</w:t>
      </w:r>
    </w:p>
    <w:p>
      <w:pPr>
        <w:pStyle w:val="FirstParagraph"/>
      </w:pPr>
      <w:r>
        <w:t xml:space="preserve">Скотт Э. Пейдж - американский социолог и заслуженный профессор Университета Джона Сили Брауна в области сложности, социальных наук и менеджмента в Мичиганском университете в Энн-Арборе. Он представил теорему прогнозирования разнообразия:</w:t>
      </w:r>
    </w:p>
    <w:p>
      <w:pPr>
        <w:pStyle w:val="BodyText"/>
      </w:pPr>
      <w:r>
        <w:t xml:space="preserve">Квадрат ошибки коллективного прогнозирования равен среднему квадрату ошибки минус прогнозируемое разнообразие.</w:t>
      </w:r>
    </w:p>
    <w:p>
      <w:pPr>
        <w:pStyle w:val="BodyText"/>
      </w:pPr>
      <w:r>
        <w:t xml:space="preserve">Следовательно, когда разнообразие в группе велико, ошибка толпы невелика.</w:t>
      </w:r>
    </w:p>
    <w:p>
      <w:pPr>
        <w:pStyle w:val="BodyText"/>
      </w:pPr>
      <w:r>
        <w:rPr>
          <w:iCs/>
          <w:i/>
        </w:rPr>
        <w:t xml:space="preserve">Определения</w:t>
      </w:r>
    </w:p>
    <w:p>
      <w:pPr>
        <w:numPr>
          <w:ilvl w:val="0"/>
          <w:numId w:val="1002"/>
        </w:numPr>
      </w:pPr>
      <w:r>
        <w:t xml:space="preserve">Средняя индивидуальная ошибка: среднее значение индивидуальных квадратов ошибок</w:t>
      </w:r>
    </w:p>
    <w:p>
      <w:pPr>
        <w:numPr>
          <w:ilvl w:val="0"/>
          <w:numId w:val="1002"/>
        </w:numPr>
      </w:pPr>
      <w:r>
        <w:t xml:space="preserve">Коллективная ошибка: квадратическая ошибка коллективного прогнозирования</w:t>
      </w:r>
    </w:p>
    <w:p>
      <w:pPr>
        <w:numPr>
          <w:ilvl w:val="0"/>
          <w:numId w:val="1002"/>
        </w:numPr>
      </w:pPr>
      <w:r>
        <w:t xml:space="preserve">Разнообразие прогнозов: среднее квадратическое расстояние от индивидуальных прогнозов до коллективного прогноза</w:t>
      </w:r>
    </w:p>
    <w:p>
      <w:pPr>
        <w:pStyle w:val="FirstParagraph"/>
      </w:pPr>
      <w:r>
        <w:t xml:space="preserve">Теорема прогнозирования разнообразия: Учитывая множество прогностических моделей, имеем</w:t>
      </w:r>
    </w:p>
    <w:p>
      <w:pPr>
        <w:pStyle w:val="BodyText"/>
      </w:pPr>
      <w:r>
        <w:t xml:space="preserve">Коллективная ошибка = Средняя индивидуальная ошибка - Разнообразие прогнозирования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θ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numPr>
          <w:ilvl w:val="0"/>
          <w:numId w:val="1003"/>
        </w:numPr>
        <w:pStyle w:val="Compact"/>
      </w:pPr>
      <m:oMath>
        <m:r>
          <m:t>c</m:t>
        </m:r>
      </m:oMath>
      <w:r>
        <w:t xml:space="preserve"> </w:t>
      </w:r>
      <w:r>
        <w:t xml:space="preserve">— предсказание толпы (общая оценка параметра).</w:t>
      </w:r>
    </w:p>
    <w:p>
      <w:pPr>
        <w:numPr>
          <w:ilvl w:val="0"/>
          <w:numId w:val="1003"/>
        </w:numPr>
        <w:pStyle w:val="Compact"/>
      </w:pPr>
      <m:oMath>
        <m:r>
          <m:t>θ</m:t>
        </m:r>
      </m:oMath>
      <w:r>
        <w:t xml:space="preserve"> </w:t>
      </w:r>
      <w:r>
        <w:t xml:space="preserve">— истинное значение параметра.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индивидуальные оценки параметра.</w:t>
      </w:r>
    </w:p>
    <w:bookmarkEnd w:id="24"/>
    <w:bookmarkStart w:id="28" w:name="пример-работы-теоре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Пример работы теоремы</w:t>
      </w:r>
    </w:p>
    <w:p>
      <w:pPr>
        <w:pStyle w:val="FirstParagraph"/>
      </w:pPr>
      <w:r>
        <w:t xml:space="preserve">Допустим у нас есть трое людей (Катя, Костя и Мариян), которые предсказывают, сколько людей придет в закусочную на обед в определенный день (см. в табл. 2).</w:t>
      </w:r>
      <w:r>
        <w:t xml:space="preserve"> </w:t>
      </w:r>
      <w:r>
        <w:t xml:space="preserve">Реальное число людей, пришедших на обед: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t</m:t>
          </m:r>
          <m:r>
            <m:rPr>
              <m:sty m:val="p"/>
            </m:rPr>
            <m:t>r</m:t>
          </m:r>
          <m:r>
            <m:rPr>
              <m:sty m:val="p"/>
            </m:rPr>
            <m:t>u</m:t>
          </m:r>
          <m:r>
            <m:rPr>
              <m:sty m:val="p"/>
            </m:rPr>
            <m:t>e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u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r>
            <m:t>18</m:t>
          </m:r>
        </m:oMath>
      </m:oMathPara>
    </w:p>
    <w:bookmarkStart w:id="25" w:name="tbl:pred"/>
    <w:p>
      <w:pPr>
        <w:pStyle w:val="TableCaption"/>
      </w:pPr>
      <w:r>
        <w:t xml:space="preserve">Таблица 2: Результаты предсказаний людей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2: Результаты предсказаний людей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Человек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Предсказание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Катя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Костя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Мариян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</w:tbl>
    <w:bookmarkEnd w:id="25"/>
    <w:p>
      <w:pPr>
        <w:pStyle w:val="BodyText"/>
      </w:pPr>
      <w:r>
        <w:t xml:space="preserve">Чтобы получить среднюю оценку предсказаний, надо их сложить и поделить на количество: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g</m:t>
          </m:r>
          <m:r>
            <m:rPr>
              <m:sty m:val="p"/>
            </m:rPr>
            <m:t>e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l</m:t>
          </m:r>
          <m:r>
            <m:rPr>
              <m:sty m:val="p"/>
            </m:rPr>
            <m:t>u</m:t>
          </m:r>
          <m:r>
            <m:rPr>
              <m:sty m:val="p"/>
            </m:rP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w:r>
        <w:t xml:space="preserve">Теперь давайте вычислим квадратичную ошибку каждого человека (см. в табл. 3):</w:t>
      </w:r>
    </w:p>
    <w:bookmarkStart w:id="26" w:name="tbl:error"/>
    <w:p>
      <w:pPr>
        <w:pStyle w:val="TableCaption"/>
      </w:pPr>
      <w:r>
        <w:t xml:space="preserve">Таблица 3: Квадратичная ошибка каждого человека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3: Квадратичная ошибка каждого человека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Человек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Ошибка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Катя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64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Костя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Мариян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49</m:t>
              </m:r>
            </m:oMath>
          </w:p>
        </w:tc>
      </w:tr>
    </w:tbl>
    <w:bookmarkEnd w:id="26"/>
    <w:p>
      <w:pPr>
        <w:pStyle w:val="BodyText"/>
      </w:pPr>
      <w:r>
        <w:t xml:space="preserve">Тогда средняя ошибка каждого человека составляет: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g</m:t>
          </m:r>
          <m:r>
            <m:rPr>
              <m:sty m:val="p"/>
            </m:rPr>
            <m:t>e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64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49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39</m:t>
          </m:r>
        </m:oMath>
      </m:oMathPara>
    </w:p>
    <w:p>
      <w:pPr>
        <w:pStyle w:val="FirstParagraph"/>
      </w:pPr>
      <w:r>
        <w:t xml:space="preserve">Давайте посмотрим, насколько точной была оценка толпы, посчитав ее ошибку: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w</m:t>
          </m:r>
          <m:r>
            <m:rPr>
              <m:sty m:val="p"/>
            </m:rPr>
            <m:t>d</m:t>
          </m:r>
          <m:r>
            <m:rPr>
              <m:sty m:val="p"/>
            </m:rPr>
            <m:t>′</m:t>
          </m:r>
          <m:r>
            <m:rPr>
              <m:sty m:val="p"/>
            </m:rPr>
            <m:t>s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То есть толпа ошиблась всего на 1. Таким образом, мы получаем мудрость толпы.</w:t>
      </w:r>
    </w:p>
    <w:p>
      <w:pPr>
        <w:pStyle w:val="BodyText"/>
      </w:pPr>
      <w:r>
        <w:t xml:space="preserve">Чтобы понять, почему это имеет смысл, рассмотрим разнообразие (вариации в предсказаниях). Мы посмотрим на предсказание каждого человека и его отдаленность от среднего прогноза (см. в табл. 4).</w:t>
      </w:r>
    </w:p>
    <w:bookmarkStart w:id="27" w:name="tbl:diversity"/>
    <w:p>
      <w:pPr>
        <w:pStyle w:val="TableCaption"/>
      </w:pPr>
      <w:r>
        <w:t xml:space="preserve">Таблица 4: Отдаленность предсказания каждого человека от среднего прогноза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Таблица 4: Отдаленность предсказания каждого человека от среднего прогноза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Человек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Разнообразие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Катя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17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Костя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17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Мариян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17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64</m:t>
              </m:r>
            </m:oMath>
          </w:p>
        </w:tc>
      </w:tr>
    </w:tbl>
    <w:bookmarkEnd w:id="27"/>
    <w:p>
      <w:pPr>
        <w:pStyle w:val="BodyText"/>
      </w:pPr>
      <w:r>
        <w:t xml:space="preserve">Тогда разнообразие предсказаний составляет: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d</m:t>
          </m:r>
          <m:r>
            <m:rPr>
              <m:sty m:val="p"/>
            </m:rPr>
            <m:t>i</m:t>
          </m:r>
          <m:r>
            <m:rPr>
              <m:sty m:val="p"/>
            </m:rPr>
            <m:t>v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49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64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38</m:t>
          </m:r>
        </m:oMath>
      </m:oMathPara>
    </w:p>
    <w:p>
      <w:pPr>
        <w:pStyle w:val="FirstParagraph"/>
      </w:pPr>
      <w:r>
        <w:t xml:space="preserve">Получается, что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r>
            <m:t>39</m:t>
          </m:r>
          <m:r>
            <m:rPr>
              <m:sty m:val="p"/>
            </m:rPr>
            <m:t>−</m:t>
          </m:r>
          <m:r>
            <m:t>38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то есть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w</m:t>
          </m:r>
          <m:r>
            <m:rPr>
              <m:sty m:val="p"/>
            </m:rPr>
            <m:t>d</m:t>
          </m:r>
          <m:r>
            <m:rPr>
              <m:sty m:val="p"/>
            </m:rPr>
            <m:t>′</m:t>
          </m:r>
          <m:r>
            <m:rPr>
              <m:sty m:val="p"/>
            </m:rPr>
            <m:t>s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=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g</m:t>
          </m:r>
          <m:r>
            <m:rPr>
              <m:sty m:val="p"/>
            </m:rPr>
            <m:t>e</m:t>
          </m:r>
          <m:r>
            <m:t> </m:t>
          </m:r>
          <m:r>
            <m:t> </m:t>
          </m:r>
          <m:r>
            <m:t> 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r</m:t>
          </m:r>
          <m:r>
            <m:rPr>
              <m:sty m:val="p"/>
            </m:rPr>
            <m:t>o</m:t>
          </m:r>
          <m:r>
            <m:rPr>
              <m:sty m:val="p"/>
            </m:rP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D</m:t>
          </m:r>
          <m:r>
            <m:rPr>
              <m:sty m:val="p"/>
            </m:rPr>
            <m:t>i</m:t>
          </m:r>
          <m:r>
            <m:rPr>
              <m:sty m:val="p"/>
            </m:rPr>
            <m:t>v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s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</m:oMath>
      </m:oMathPara>
    </w:p>
    <w:p>
      <w:pPr>
        <w:pStyle w:val="FirstParagraph"/>
      </w:pPr>
      <w:r>
        <w:t xml:space="preserve">Таким образом, мы пришли к теореме о прогнозе разнообразия (Diversity Prediction Theorem):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θ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bookmarkEnd w:id="28"/>
    <w:bookmarkStart w:id="29" w:name="практическая-реализац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Практическая реализация</w:t>
      </w:r>
    </w:p>
    <w:p>
      <w:pPr>
        <w:pStyle w:val="FirstParagraph"/>
      </w:pPr>
      <w:r>
        <w:t xml:space="preserve">Подобные расчеты удобно выполнять на языке программирования Julia.</w:t>
      </w:r>
      <w:r>
        <w:t xml:space="preserve"> </w:t>
      </w:r>
      <w:r>
        <w:t xml:space="preserve">Julia — высокоуровневый свободный язык программирования с динамической типизацией, созданный для математических вычислений.</w:t>
      </w:r>
      <w:r>
        <w:t xml:space="preserve"> </w:t>
      </w:r>
      <w:r>
        <w:t xml:space="preserve">Будем использовать пакет</w:t>
      </w:r>
      <w:r>
        <w:t xml:space="preserve"> </w:t>
      </w:r>
      <w:r>
        <w:rPr>
          <w:rStyle w:val="VerbatimChar"/>
        </w:rPr>
        <w:t xml:space="preserve">Statistics</w:t>
      </w:r>
      <w:r>
        <w:t xml:space="preserve">, который содержит базовые функции статистики. В нем есть функция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 которая нужна для вычисления среднего значения для всех элементов в коллекции.</w:t>
      </w:r>
    </w:p>
    <w:p>
      <w:pPr>
        <w:pStyle w:val="BodyText"/>
      </w:pPr>
      <w:r>
        <w:t xml:space="preserve">Функция для вычисления элементов теоремы о прогнозе разнообразия (средняя индивидуальная ошибка, коллективная ошибка, разнообразие прогнозов) будет выглядеть следующим образом: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diversitytheorem</w:t>
      </w:r>
      <w:r>
        <w:rPr>
          <w:rStyle w:val="NormalTok"/>
        </w:rPr>
        <w:t xml:space="preserve">(truth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pred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(pred)</w:t>
      </w:r>
      <w:r>
        <w:br/>
      </w:r>
      <w:r>
        <w:rPr>
          <w:rStyle w:val="NormalTok"/>
        </w:rPr>
        <w:t xml:space="preserve">    avgerr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truth)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crderr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(μ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truth)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divers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μ) </w:t>
      </w:r>
      <w:r>
        <w:rPr>
          <w:rStyle w:val="OperatorTok"/>
        </w:rPr>
        <w:t xml:space="preserve">.^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avgerr, crderr, divers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(t, 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FloatTok"/>
        </w:rPr>
        <w:t xml:space="preserve">18</w:t>
      </w:r>
      <w:r>
        <w:rPr>
          <w:rStyle w:val="NormalTok"/>
        </w:rPr>
        <w:t xml:space="preserve">, [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avgerr, crderr, divers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diversitytheorem</w:t>
      </w:r>
      <w:r>
        <w:rPr>
          <w:rStyle w:val="NormalTok"/>
        </w:rPr>
        <w:t xml:space="preserve">(t, 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average-error 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avgerr</w:t>
      </w:r>
      <w:r>
        <w:br/>
      </w:r>
      <w:r>
        <w:rPr>
          <w:rStyle w:val="StringTok"/>
        </w:rPr>
        <w:t xml:space="preserve">    crowd-error   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crderr</w:t>
      </w:r>
      <w:r>
        <w:br/>
      </w:r>
      <w:r>
        <w:rPr>
          <w:rStyle w:val="StringTok"/>
        </w:rPr>
        <w:t xml:space="preserve">    diversity     :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divers</w:t>
      </w:r>
      <w:r>
        <w:br/>
      </w:r>
      <w:r>
        <w:rPr>
          <w:rStyle w:val="StringTok"/>
        </w:rPr>
        <w:t xml:space="preserve">    """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</w:p>
    <w:p>
      <w:pPr>
        <w:pStyle w:val="FirstParagraph"/>
      </w:pPr>
      <w:r>
        <w:t xml:space="preserve">В результате получаем:</w:t>
      </w:r>
    </w:p>
    <w:p>
      <w:pPr>
        <w:pStyle w:val="SourceCode"/>
      </w:pPr>
      <w:r>
        <w:rPr>
          <w:rStyle w:val="VerbatimChar"/>
        </w:rPr>
        <w:t xml:space="preserve">average-error : 39.0</w:t>
      </w:r>
      <w:r>
        <w:br/>
      </w:r>
      <w:r>
        <w:rPr>
          <w:rStyle w:val="VerbatimChar"/>
        </w:rPr>
        <w:t xml:space="preserve">crowd-error   : 1.0</w:t>
      </w:r>
      <w:r>
        <w:br/>
      </w:r>
      <w:r>
        <w:rPr>
          <w:rStyle w:val="VerbatimChar"/>
        </w:rPr>
        <w:t xml:space="preserve">diversity     : 38.0</w:t>
      </w:r>
    </w:p>
    <w:p>
      <w:pPr>
        <w:pStyle w:val="FirstParagraph"/>
      </w:pP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исследована теорема о прогнозе разнообразия.</w:t>
      </w:r>
    </w:p>
    <w:bookmarkEnd w:id="30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model_think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Пейдж С. Модельное мышление. Как анализировать сложные явления с помощью математических моделей. 2015. 528 с.</w:t>
      </w:r>
    </w:p>
    <w:bookmarkEnd w:id="31"/>
    <w:bookmarkStart w:id="33" w:name="ref-wiki_wisdo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The Wisdom of Crowds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https://en.wikipedia.org/wiki/The_Wisdom_of_Crowds#cite_note-1</w:t>
        </w:r>
      </w:hyperlink>
      <w:r>
        <w:t xml:space="preserve">.</w:t>
      </w:r>
    </w:p>
    <w:bookmarkEnd w:id="33"/>
    <w:bookmarkStart w:id="34" w:name="ref-wisdom_crow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Surowiecki J. The Wisdom of Crowds. Doubleday, Anchor, 2004. 336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en.wikipedia.org/wiki/The_Wisdom_of_Crowds#cite_note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The_Wisdom_of_Crowds#cite_note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Беличева Дарья Михайловна</dc:creator>
  <dc:language>ru-RU</dc:language>
  <cp:keywords/>
  <dcterms:created xsi:type="dcterms:W3CDTF">2024-03-15T19:01:22Z</dcterms:created>
  <dcterms:modified xsi:type="dcterms:W3CDTF">2024-03-15T19:01:22Z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Теорема о прогнозе разнообразия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