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52.png" ContentType="image/png"/>
  <Override PartName="/word/media/rId67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28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списков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</w:t>
      </w:r>
      <w:r>
        <w:t xml:space="preserve"> </w:t>
      </w:r>
      <w:r>
        <w:t xml:space="preserve">(ACL)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Требуется настроить следующие правила доступа:</w:t>
      </w:r>
    </w:p>
    <w:p>
      <w:pPr>
        <w:numPr>
          <w:ilvl w:val="1"/>
          <w:numId w:val="1002"/>
        </w:numPr>
        <w:pStyle w:val="Compact"/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numPr>
          <w:ilvl w:val="1"/>
          <w:numId w:val="1002"/>
        </w:numPr>
        <w:pStyle w:val="Compact"/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numPr>
          <w:ilvl w:val="1"/>
          <w:numId w:val="1002"/>
        </w:numPr>
        <w:pStyle w:val="Compact"/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numPr>
          <w:ilvl w:val="1"/>
          <w:numId w:val="1002"/>
        </w:numPr>
        <w:pStyle w:val="Compact"/>
      </w:pPr>
      <w:r>
        <w:t xml:space="preserve">DNS-сервер: открыть порт 53 протокола UDP для доступа из внутренней сети;</w:t>
      </w:r>
    </w:p>
    <w:p>
      <w:pPr>
        <w:numPr>
          <w:ilvl w:val="1"/>
          <w:numId w:val="1002"/>
        </w:numPr>
        <w:pStyle w:val="Compact"/>
      </w:pPr>
      <w:r>
        <w:t xml:space="preserve">разрешить icmp-сообщения, направленные в сеть серверов;</w:t>
      </w:r>
    </w:p>
    <w:p>
      <w:pPr>
        <w:numPr>
          <w:ilvl w:val="1"/>
          <w:numId w:val="1002"/>
        </w:numPr>
        <w:pStyle w:val="Compact"/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numPr>
          <w:ilvl w:val="1"/>
          <w:numId w:val="1002"/>
        </w:numPr>
        <w:pStyle w:val="Compact"/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numPr>
          <w:ilvl w:val="0"/>
          <w:numId w:val="1001"/>
        </w:numPr>
        <w:pStyle w:val="Compact"/>
      </w:pPr>
      <w:r>
        <w:t xml:space="preserve">Требуется проверить правильность действия установленных правил доступа.</w:t>
      </w:r>
    </w:p>
    <w:p>
      <w:pPr>
        <w:numPr>
          <w:ilvl w:val="0"/>
          <w:numId w:val="1001"/>
        </w:numPr>
        <w:pStyle w:val="Compact"/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 1)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 2), указав в качестве gateway-адреса 10.128.6.1 и адреса</w:t>
      </w:r>
      <w:r>
        <w:t xml:space="preserve"> </w:t>
      </w:r>
      <w:r>
        <w:t xml:space="preserve">DNS-сервера 10.128.0.5 (рис. 3).</w:t>
      </w:r>
    </w:p>
    <w:p>
      <w:pPr>
        <w:pStyle w:val="CaptionedFigure"/>
      </w:pPr>
      <w:r>
        <w:drawing>
          <wp:inline>
            <wp:extent cx="3733800" cy="2228813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3733800" cy="1673772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статического ip-адреса ноутбуку admin</w:t>
      </w:r>
    </w:p>
    <w:p>
      <w:pPr>
        <w:pStyle w:val="CaptionedFigure"/>
      </w:pPr>
      <w:r>
        <w:drawing>
          <wp:inline>
            <wp:extent cx="3733800" cy="1856014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gateway-адреса и адреса DNS-сервера ноутбуку admin</w:t>
      </w:r>
    </w:p>
    <w:p>
      <w:pPr>
        <w:pStyle w:val="BodyText"/>
      </w:pPr>
      <w:r>
        <w:t xml:space="preserve">Проверим, что у ноутбука корректно работает соединение через пингование разных устройств сети, например серверов (рис. 4).</w:t>
      </w:r>
    </w:p>
    <w:p>
      <w:pPr>
        <w:pStyle w:val="CaptionedFigure"/>
      </w:pPr>
      <w:r>
        <w:drawing>
          <wp:inline>
            <wp:extent cx="3733800" cy="2969045"/>
            <wp:effectExtent b="0" l="0" r="0" t="0"/>
            <wp:docPr descr="Проверка работоспособности соединения ноутбука admi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работоспособности соединения ноутбука admin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Настроем доступ к web-серверу по порту tcp 80 (рис.5).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3733800" cy="497840"/>
            <wp:effectExtent b="0" l="0" r="0" t="0"/>
            <wp:docPr descr="Настройка доступа к web-серверу по порту tcp 8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(рис.6).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402528"/>
            <wp:effectExtent b="0" l="0" r="0" t="0"/>
            <wp:docPr descr="Добавление списка управления доступом к интерфейс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 (рис.7). При этом команда ping будет демонстрировать недоступность web-сервера как по имени, так и по ip-адресу web-сервера (рис.8).</w:t>
      </w:r>
    </w:p>
    <w:p>
      <w:pPr>
        <w:pStyle w:val="CaptionedFigure"/>
      </w:pPr>
      <w:r>
        <w:drawing>
          <wp:inline>
            <wp:extent cx="3733800" cy="1738341"/>
            <wp:effectExtent b="0" l="0" r="0" t="0"/>
            <wp:docPr descr="Проверка доступа к web-серверу через протокол HTT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доступа к web-серверу через протокол HTTP</w:t>
      </w:r>
    </w:p>
    <w:p>
      <w:pPr>
        <w:pStyle w:val="CaptionedFigure"/>
      </w:pPr>
      <w:r>
        <w:drawing>
          <wp:inline>
            <wp:extent cx="3733800" cy="2868651"/>
            <wp:effectExtent b="0" l="0" r="0" t="0"/>
            <wp:docPr descr="Проверка недоступности web-сервера через ping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недоступности web-сервера через ping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(рис.9).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3733800" cy="370376"/>
            <wp:effectExtent b="0" l="0" r="0" t="0"/>
            <wp:docPr descr="Настройка дополнительного доступа для администратора по протоколам Telnet и FT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 (рис.10).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CaptionedFigure"/>
      </w:pPr>
      <w:r>
        <w:drawing>
          <wp:inline>
            <wp:extent cx="2483317" cy="1434164"/>
            <wp:effectExtent b="0" l="0" r="0" t="0"/>
            <wp:docPr descr="Проверка работы ftp у администратор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ftp у администратора</w:t>
      </w:r>
    </w:p>
    <w:p>
      <w:pPr>
        <w:pStyle w:val="BodyText"/>
      </w:pPr>
      <w:r>
        <w:t xml:space="preserve">Попробуем провести аналогичную процедуру с другого устройства сети (рис.11). Увидим, что доступ запрещён.</w:t>
      </w:r>
    </w:p>
    <w:p>
      <w:pPr>
        <w:pStyle w:val="CaptionedFigure"/>
      </w:pPr>
      <w:r>
        <w:drawing>
          <wp:inline>
            <wp:extent cx="3185962" cy="1549667"/>
            <wp:effectExtent b="0" l="0" r="0" t="0"/>
            <wp:docPr descr="Проверка недоступности подключения по ftp у просто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недоступности подключения по ftp у просто пользователя</w:t>
      </w:r>
    </w:p>
    <w:p>
      <w:pPr>
        <w:pStyle w:val="BodyText"/>
      </w:pPr>
      <w:r>
        <w:t xml:space="preserve">Настроем доступ к файловому серверу (рис.12).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3733800" cy="554079"/>
            <wp:effectExtent b="0" l="0" r="0" t="0"/>
            <wp:docPr descr="Настройка доступа к файловому серверу" title="" id="56" name="Picture"/>
            <a:graphic>
              <a:graphicData uri="http://schemas.openxmlformats.org/drawingml/2006/picture">
                <pic:pic>
                  <pic:nvPicPr>
                    <pic:cNvPr descr="image/11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(рис.13).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3733800" cy="670013"/>
            <wp:effectExtent b="0" l="0" r="0" t="0"/>
            <wp:docPr descr="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1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(рис.14).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3733800" cy="404363"/>
            <wp:effectExtent b="0" l="0" r="0" t="0"/>
            <wp:docPr descr="Настройка доступа к DNS-серверу" title="" id="62" name="Picture"/>
            <a:graphic>
              <a:graphicData uri="http://schemas.openxmlformats.org/drawingml/2006/picture">
                <pic:pic>
                  <pic:nvPicPr>
                    <pic:cNvPr descr="image/11.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доступа к DNS-серверу</w:t>
      </w:r>
    </w:p>
    <w:p>
      <w:pPr>
        <w:pStyle w:val="BodyText"/>
      </w:pPr>
      <w:r>
        <w:t xml:space="preserve">Проверим доступность web-сервера (через браузер) не только по ip-адресу (рис.15), но и по имени (рис.16).</w:t>
      </w:r>
    </w:p>
    <w:p>
      <w:pPr>
        <w:pStyle w:val="CaptionedFigure"/>
      </w:pPr>
      <w:r>
        <w:drawing>
          <wp:inline>
            <wp:extent cx="3733800" cy="1721636"/>
            <wp:effectExtent b="0" l="0" r="0" t="0"/>
            <wp:docPr descr="Проверка доступности web-сервера по ip-адресу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доступности web-сервера по ip-адресу</w:t>
      </w:r>
    </w:p>
    <w:p>
      <w:pPr>
        <w:pStyle w:val="CaptionedFigure"/>
      </w:pPr>
      <w:r>
        <w:drawing>
          <wp:inline>
            <wp:extent cx="3733800" cy="1795307"/>
            <wp:effectExtent b="0" l="0" r="0" t="0"/>
            <wp:docPr descr="Проверка доступности web-сервера по имен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доступности web-сервера по имени</w:t>
      </w:r>
    </w:p>
    <w:p>
      <w:pPr>
        <w:pStyle w:val="BodyText"/>
      </w:pPr>
      <w:r>
        <w:t xml:space="preserve">Разрешим icmp-запросы (рис.17).</w:t>
      </w:r>
    </w:p>
    <w:p>
      <w:pPr>
        <w:pStyle w:val="CaptionedFigure"/>
      </w:pPr>
      <w:r>
        <w:drawing>
          <wp:inline>
            <wp:extent cx="3733800" cy="428351"/>
            <wp:effectExtent b="0" l="0" r="0" t="0"/>
            <wp:docPr descr="Разрешение icmp-запросов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(рис.18).</w:t>
      </w:r>
    </w:p>
    <w:p>
      <w:pPr>
        <w:pStyle w:val="CaptionedFigure"/>
      </w:pPr>
      <w:r>
        <w:drawing>
          <wp:inline>
            <wp:extent cx="3733800" cy="1184825"/>
            <wp:effectExtent b="0" l="0" r="0" t="0"/>
            <wp:docPr descr="Просмотр строк в списке контроля доступ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(рис.19).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3733800" cy="1231429"/>
            <wp:effectExtent b="0" l="0" r="0" t="0"/>
            <wp:docPr descr="Настройка доступа для сети Other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(рис.20).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838522"/>
            <wp:effectExtent b="0" l="0" r="0" t="0"/>
            <wp:docPr descr="Настройка доступа администратора к сети сетевого оборудования" title="" id="80" name="Picture"/>
            <a:graphic>
              <a:graphicData uri="http://schemas.openxmlformats.org/drawingml/2006/picture">
                <pic:pic>
                  <pic:nvPicPr>
                    <pic:cNvPr descr="image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доступа администратора к сети сетевого оборудования</w:t>
      </w:r>
    </w:p>
    <w:p>
      <w:pPr>
        <w:pStyle w:val="BodyText"/>
      </w:pPr>
      <w:r>
        <w:t xml:space="preserve">Проверим получившийся список контроля доступа (рис.21).</w:t>
      </w:r>
    </w:p>
    <w:p>
      <w:pPr>
        <w:pStyle w:val="CaptionedFigure"/>
      </w:pPr>
      <w:r>
        <w:drawing>
          <wp:inline>
            <wp:extent cx="3733800" cy="2530686"/>
            <wp:effectExtent b="0" l="0" r="0" t="0"/>
            <wp:docPr descr="Список контроля доступа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Список контроля доступа</w:t>
      </w:r>
    </w:p>
    <w:bookmarkEnd w:id="85"/>
    <w:bookmarkStart w:id="10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3"/>
        </w:numPr>
        <w:pStyle w:val="Compact"/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</w:t>
      </w:r>
      <w:r>
        <w:t xml:space="preserve"> </w:t>
      </w:r>
      <w:r>
        <w:t xml:space="preserve">серверов и подсети сетевого оборудования.</w:t>
      </w:r>
    </w:p>
    <w:p>
      <w:pPr>
        <w:pStyle w:val="FirstParagraph"/>
      </w:pPr>
      <w:r>
        <w:t xml:space="preserve">Откроем терминал dep-donskaya-dmbelicheva-1 и пропингуем разные устройства (рис.22). Увидим, что серверы и другие оконечные устройства пингуются, однако к сетевому оборудованию доступа нет, как и должно быть.</w:t>
      </w:r>
    </w:p>
    <w:p>
      <w:pPr>
        <w:pStyle w:val="CaptionedFigure"/>
      </w:pPr>
      <w:r>
        <w:drawing>
          <wp:inline>
            <wp:extent cx="3733800" cy="4189670"/>
            <wp:effectExtent b="0" l="0" r="0" t="0"/>
            <wp:docPr descr="Пингование устройств с dep-donskaya-dmbelicheva-1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Пингование устройств с dep-donskaya-dmbelicheva-1</w:t>
      </w:r>
    </w:p>
    <w:p>
      <w:pPr>
        <w:pStyle w:val="BodyText"/>
      </w:pPr>
      <w:r>
        <w:t xml:space="preserve">Откроем терминал dk-donskaya-dmbelicheva-1 и пропингуем разные устройства (рис.23). Увидим, что серверы и другие оконечные устройства пингуются, однако к сетевому оборудованию доступа нет, как и должно быть. Также попробуем подключится к web-серверу по ftp, доступ закрыт.</w:t>
      </w:r>
    </w:p>
    <w:p>
      <w:pPr>
        <w:pStyle w:val="CaptionedFigure"/>
      </w:pPr>
      <w:r>
        <w:drawing>
          <wp:inline>
            <wp:extent cx="3733800" cy="3612339"/>
            <wp:effectExtent b="0" l="0" r="0" t="0"/>
            <wp:docPr descr="Проверка доступности устройств с dk-donskaya-dmbelicheva-1" title="" id="90" name="Picture"/>
            <a:graphic>
              <a:graphicData uri="http://schemas.openxmlformats.org/drawingml/2006/picture">
                <pic:pic>
                  <pic:nvPicPr>
                    <pic:cNvPr descr="image/2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доступности устройств с dk-donskaya-dmbelicheva-1</w:t>
      </w:r>
    </w:p>
    <w:p>
      <w:pPr>
        <w:pStyle w:val="BodyText"/>
      </w:pPr>
      <w:r>
        <w:t xml:space="preserve">Теперь проверим корректность настроенного доступа с admin (рис.24). Есть доступ к серверу по ftp, а также успешно пингуется сетевое оборудование.</w:t>
      </w:r>
    </w:p>
    <w:p>
      <w:pPr>
        <w:pStyle w:val="CaptionedFigure"/>
      </w:pPr>
      <w:r>
        <w:drawing>
          <wp:inline>
            <wp:extent cx="3733800" cy="4279550"/>
            <wp:effectExtent b="0" l="0" r="0" t="0"/>
            <wp:docPr descr="Проверка доступности устройств с dk-donskaya-dmbelicheva-1" title="" id="93" name="Picture"/>
            <a:graphic>
              <a:graphicData uri="http://schemas.openxmlformats.org/drawingml/2006/picture">
                <pic:pic>
                  <pic:nvPicPr>
                    <pic:cNvPr descr="image/2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доступности устройств с dk-donskaya-dmbelicheva-1</w:t>
      </w:r>
    </w:p>
    <w:p>
      <w:pPr>
        <w:numPr>
          <w:ilvl w:val="0"/>
          <w:numId w:val="1004"/>
        </w:numPr>
        <w:pStyle w:val="Compact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FirstParagraph"/>
      </w:pPr>
      <w:r>
        <w:t xml:space="preserve">Разместим в рабочей области ноутбук admin-pavlovskaya на Павловской (рис.25).</w:t>
      </w:r>
    </w:p>
    <w:p>
      <w:pPr>
        <w:pStyle w:val="CaptionedFigure"/>
      </w:pPr>
      <w:r>
        <w:drawing>
          <wp:inline>
            <wp:extent cx="3733800" cy="2243188"/>
            <wp:effectExtent b="0" l="0" r="0" t="0"/>
            <wp:docPr descr="Логическая область с размещенным ноутбуком admin на Павловской" title="" id="96" name="Picture"/>
            <a:graphic>
              <a:graphicData uri="http://schemas.openxmlformats.org/drawingml/2006/picture">
                <pic:pic>
                  <pic:nvPicPr>
                    <pic:cNvPr descr="image/2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Логическая область с размещенным ноутбуком admin на Павловской</w:t>
      </w:r>
    </w:p>
    <w:p>
      <w:pPr>
        <w:pStyle w:val="BodyText"/>
      </w:pPr>
      <w:r>
        <w:t xml:space="preserve">Настроем доступ для администратора на Павловской по протоколам Telnet и FTP, дадим разрешение устройству с адресом 10.128.6.201 на любые действия (any), настроем доступ администратора к сети сетевого оборудования (рис.26).</w:t>
      </w:r>
    </w:p>
    <w:p>
      <w:pPr>
        <w:pStyle w:val="CaptionedFigure"/>
      </w:pPr>
      <w:r>
        <w:drawing>
          <wp:inline>
            <wp:extent cx="3733800" cy="2650911"/>
            <wp:effectExtent b="0" l="0" r="0" t="0"/>
            <wp:docPr descr="Настройка доступов для admin-pavlovskaya" title="" id="99" name="Picture"/>
            <a:graphic>
              <a:graphicData uri="http://schemas.openxmlformats.org/drawingml/2006/picture">
                <pic:pic>
                  <pic:nvPicPr>
                    <pic:cNvPr descr="image/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Настройка доступов для admin-pavlovskaya</w:t>
      </w:r>
    </w:p>
    <w:p>
      <w:pPr>
        <w:pStyle w:val="BodyText"/>
      </w:pPr>
      <w:r>
        <w:t xml:space="preserve">Проверим получившийся список контроля доступа (рис.27).</w:t>
      </w:r>
    </w:p>
    <w:p>
      <w:pPr>
        <w:pStyle w:val="CaptionedFigure"/>
      </w:pPr>
      <w:r>
        <w:drawing>
          <wp:inline>
            <wp:extent cx="3733800" cy="2733195"/>
            <wp:effectExtent b="0" l="0" r="0" t="0"/>
            <wp:docPr descr="Список контроля доступа" title="" id="102" name="Picture"/>
            <a:graphic>
              <a:graphicData uri="http://schemas.openxmlformats.org/drawingml/2006/picture">
                <pic:pic>
                  <pic:nvPicPr>
                    <pic:cNvPr descr="image/2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Список контроля доступа</w:t>
      </w:r>
    </w:p>
    <w:p>
      <w:pPr>
        <w:pStyle w:val="BodyText"/>
      </w:pPr>
      <w:r>
        <w:t xml:space="preserve">Проверим, что наша настройка доступов работает корректно (рис.28).</w:t>
      </w:r>
    </w:p>
    <w:p>
      <w:pPr>
        <w:pStyle w:val="CaptionedFigure"/>
      </w:pPr>
      <w:r>
        <w:drawing>
          <wp:inline>
            <wp:extent cx="3200400" cy="3275153"/>
            <wp:effectExtent b="0" l="0" r="0" t="0"/>
            <wp:docPr descr="Проверка корректности настроенного доступа" title="" id="105" name="Picture"/>
            <a:graphic>
              <a:graphicData uri="http://schemas.openxmlformats.org/drawingml/2006/picture">
                <pic:pic>
                  <pic:nvPicPr>
                    <pic:cNvPr descr="image/25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Проверка корректности настроенного доступа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освоила настройку прав доступа пользователей к ресурсам сети.</w:t>
      </w:r>
    </w:p>
    <w:bookmarkEnd w:id="108"/>
    <w:bookmarkStart w:id="10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67" Target="media/rId67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Беличева Дарья Михайловна</dc:creator>
  <dc:language>ru-RU</dc:language>
  <cp:keywords/>
  <dcterms:created xsi:type="dcterms:W3CDTF">2024-04-27T11:20:21Z</dcterms:created>
  <dcterms:modified xsi:type="dcterms:W3CDTF">2024-04-27T11:20:21Z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списков управления доступом (ACL)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