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Основная команда для работы с правами в Linux: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t xml:space="preserve"> </w:t>
      </w:r>
      <w:r>
        <w:t xml:space="preserve">Есть три основных вида прав:</w:t>
      </w:r>
    </w:p>
    <w:p>
      <w:pPr>
        <w:numPr>
          <w:ilvl w:val="0"/>
          <w:numId w:val="1001"/>
        </w:numPr>
        <w:pStyle w:val="Compact"/>
      </w:pPr>
      <w:r>
        <w:t xml:space="preserve">r – чтение;</w:t>
      </w:r>
    </w:p>
    <w:p>
      <w:pPr>
        <w:numPr>
          <w:ilvl w:val="0"/>
          <w:numId w:val="1001"/>
        </w:numPr>
        <w:pStyle w:val="Compact"/>
      </w:pPr>
      <w:r>
        <w:t xml:space="preserve">w – запись;</w:t>
      </w:r>
    </w:p>
    <w:p>
      <w:pPr>
        <w:numPr>
          <w:ilvl w:val="0"/>
          <w:numId w:val="1001"/>
        </w:numPr>
        <w:pStyle w:val="Compact"/>
      </w:pPr>
      <w:r>
        <w:t xml:space="preserve">x – выполнение;</w:t>
      </w:r>
    </w:p>
    <w:p>
      <w:pPr>
        <w:numPr>
          <w:ilvl w:val="0"/>
          <w:numId w:val="1001"/>
        </w:numPr>
        <w:pStyle w:val="Compact"/>
      </w:pPr>
      <w:r>
        <w:t xml:space="preserve">s – выполнение от имени суперпользователя (дополнительный);</w:t>
      </w:r>
    </w:p>
    <w:p>
      <w:pPr>
        <w:pStyle w:val="FirstParagraph"/>
      </w:pPr>
      <w:r>
        <w:t xml:space="preserve">Также есть три категории пользователей, для которых вы можете установить эти права на файл linux:</w:t>
      </w:r>
    </w:p>
    <w:p>
      <w:pPr>
        <w:numPr>
          <w:ilvl w:val="0"/>
          <w:numId w:val="1002"/>
        </w:numPr>
        <w:pStyle w:val="Compact"/>
      </w:pPr>
      <w:r>
        <w:t xml:space="preserve">u – владелец файла;</w:t>
      </w:r>
    </w:p>
    <w:p>
      <w:pPr>
        <w:numPr>
          <w:ilvl w:val="0"/>
          <w:numId w:val="1002"/>
        </w:numPr>
        <w:pStyle w:val="Compact"/>
      </w:pPr>
      <w:r>
        <w:t xml:space="preserve">g – группа файла;</w:t>
      </w:r>
    </w:p>
    <w:p>
      <w:pPr>
        <w:numPr>
          <w:ilvl w:val="0"/>
          <w:numId w:val="1002"/>
        </w:numPr>
        <w:pStyle w:val="Compact"/>
      </w:pPr>
      <w:r>
        <w:t xml:space="preserve">o – все остальные пользователи.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в предыдущей лабораторной работе операционной системе создадим учётную запись пользователя guest2 (использую учётную запись администратора), зададим пароль для пользователя guest2 и добавим пользователя guest2 в группу guest (рис. [??]).</w:t>
      </w:r>
    </w:p>
    <w:p>
      <w:pPr>
        <w:pStyle w:val="CaptionedFigure"/>
      </w:pPr>
      <w:r>
        <w:drawing>
          <wp:inline>
            <wp:extent cx="3733800" cy="1246127"/>
            <wp:effectExtent b="0" l="0" r="0" t="0"/>
            <wp:docPr descr="Создание пользователя guest2 и добавление его в группу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guest2 и добавление его в группу guest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Для обоих пользователей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определим директорию, в которой вы находитесь. Сравнив её с приглашениями командной строки, увидим, что они идентичны. Уточним имя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Увидим, что guest принадлежит одной группе guest c id 1001, а guest2 – двум группам guest и guest2 с id 1001 и 1002 соответственно. С помощью команд id -Gn и id -G можно увидеть только id существующих групп и название. Вывод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идентичен выводу команды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388506"/>
            <wp:effectExtent b="0" l="0" r="0" t="0"/>
            <wp:docPr descr="Просмотр информации о группах пользователе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группах пользователей</w:t>
      </w:r>
    </w:p>
    <w:p>
      <w:pPr>
        <w:pStyle w:val="BodyTex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 </w:t>
      </w:r>
      <w:r>
        <w:t xml:space="preserve">с использованием фильтра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чтобы найти конкретную нужную информацию. Увидим, что полученная информация идентична с предыдущей (рис. [??]).</w:t>
      </w:r>
    </w:p>
    <w:p>
      <w:pPr>
        <w:pStyle w:val="CaptionedFigure"/>
      </w:pPr>
      <w:r>
        <w:drawing>
          <wp:inline>
            <wp:extent cx="3519287" cy="637774"/>
            <wp:effectExtent b="0" l="0" r="0" t="0"/>
            <wp:docPr descr="Просмотр содержимого /etc/grou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/etc/group</w:t>
      </w:r>
    </w:p>
    <w:p>
      <w:pPr>
        <w:pStyle w:val="BodyText"/>
      </w:pPr>
      <w:r>
        <w:t xml:space="preserve">От имени пользователя guest2 выполним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</w:t>
      </w:r>
    </w:p>
    <w:p>
      <w:pPr>
        <w:pStyle w:val="BodyText"/>
      </w:pPr>
      <w:r>
        <w:t xml:space="preserve">От имени пользователя guest изменим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 От имени пользователя guest снимем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проверим правильность выполнения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[??]; [??]).</w:t>
      </w:r>
    </w:p>
    <w:p>
      <w:pPr>
        <w:pStyle w:val="CaptionedFigure"/>
      </w:pPr>
      <w:r>
        <w:drawing>
          <wp:inline>
            <wp:extent cx="3580759" cy="1744275"/>
            <wp:effectExtent b="0" l="0" r="0" t="0"/>
            <wp:docPr descr="Изменение прав директор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74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директорий</w:t>
      </w:r>
    </w:p>
    <w:p>
      <w:pPr>
        <w:pStyle w:val="CaptionedFigure"/>
      </w:pPr>
      <w:r>
        <w:drawing>
          <wp:inline>
            <wp:extent cx="3733800" cy="729393"/>
            <wp:effectExtent b="0" l="0" r="0" t="0"/>
            <wp:docPr descr="Проверка прав у директории /home/guest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у директории /home/guest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],</w:t>
      </w:r>
      <w:r>
        <w:t xml:space="preserve"> </w:t>
      </w:r>
      <w:r>
        <w:t xml:space="preserve">определив опытным путём, какие операции разрешены, а какие нет.</w:t>
      </w:r>
    </w:p>
    <w:bookmarkStart w:id="0" w:name="tbl:tbl1"/>
    <w:bookmarkStart w:id="37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7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38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2124"/>
        <w:gridCol w:w="3187"/>
        <w:gridCol w:w="26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8"/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discret_201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1">
        <w:r>
          <w:rPr>
            <w:rStyle w:val="Hyperlink"/>
          </w:rPr>
          <w:t xml:space="preserve">https://debianinstall.ru/diskretsionnoe-razgranichenie-dostupa-linux/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1" Target="https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2024-09-21T11:57:16Z</dcterms:created>
  <dcterms:modified xsi:type="dcterms:W3CDTF">2024-09-21T11:57:16Z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