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SELinux (англ. Security-Enhanced Linux — Linux с улучшенной безопасностью) — реализация системы мандатного управления доступа, которая может работать параллельно с классической избирательной системой контроля доступа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Домен – список действий, которые может выполнять процесс. Обычно в качестве домена определяется минимально-возможный набор действий, при помощи которых процесс способен функционировать. Таким образом, если процесс дискредитирован, злоумышленнику не удастся нанести большого вреда.</w:t>
      </w:r>
    </w:p>
    <w:p>
      <w:pPr>
        <w:pStyle w:val="BodyText"/>
      </w:pPr>
      <w:r>
        <w:t xml:space="preserve">Роль – список доменов, которые могут быть применены. Если какого-то домена нет в списке доменов какой-то роли, то действия из этого домена не могут быть применены.</w:t>
      </w:r>
    </w:p>
    <w:p>
      <w:pPr>
        <w:pStyle w:val="BodyText"/>
      </w:pPr>
      <w:r>
        <w:t xml:space="preserve">Тип – набор действий, которые допустимы по отношения к объекту. Тип отличается от домена тем, что он может применяться к пайпам, каталогам и файлам, в то время как домен применяется к процессам.</w:t>
      </w:r>
    </w:p>
    <w:p>
      <w:pPr>
        <w:pStyle w:val="BodyText"/>
      </w:pPr>
      <w:r>
        <w:t xml:space="preserve">Контекст безопасности – все атрибуты SELinux — роли, типы и домены.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Подготовим лабораторный стенд: установим веб-сервер Apache, а в конфигурационном файле /etc/httpd/httpd.conf зададим параметр ServerName (рис. 1).</w:t>
      </w:r>
    </w:p>
    <w:p>
      <w:pPr>
        <w:pStyle w:val="CaptionedFigure"/>
      </w:pPr>
      <w:r>
        <w:drawing>
          <wp:inline>
            <wp:extent cx="2904564" cy="630090"/>
            <wp:effectExtent b="0" l="0" r="0" t="0"/>
            <wp:docPr descr="Задание параметра ServerNam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параметра ServerName</w:t>
      </w:r>
    </w:p>
    <w:p>
      <w:pPr>
        <w:pStyle w:val="BodyText"/>
      </w:pPr>
      <w:r>
        <w:t xml:space="preserve">Далее отключим пакетный фильтр (рис. 2).</w:t>
      </w:r>
    </w:p>
    <w:p>
      <w:pPr>
        <w:pStyle w:val="CaptionedFigure"/>
      </w:pPr>
      <w:r>
        <w:drawing>
          <wp:inline>
            <wp:extent cx="3396342" cy="630090"/>
            <wp:effectExtent b="0" l="0" r="0" t="0"/>
            <wp:docPr descr="Отключение пакетного фильт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Отключение пакетного фильтра</w:t>
      </w:r>
    </w:p>
    <w:p>
      <w:pPr>
        <w:pStyle w:val="BodyText"/>
      </w:pPr>
      <w:r>
        <w:t xml:space="preserve">Войдем в систему с полученными учётными данными и убедитимся, что</w:t>
      </w:r>
      <w:r>
        <w:t xml:space="preserve"> </w:t>
      </w:r>
      <w:r>
        <w:t xml:space="preserve">SELinux работает в режиме enforcing политики targeted с помощью команд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sestatus</w:t>
      </w:r>
      <w:r>
        <w:t xml:space="preserve">.</w:t>
      </w:r>
    </w:p>
    <w:p>
      <w:pPr>
        <w:pStyle w:val="CaptionedFigure"/>
      </w:pPr>
      <w:r>
        <w:drawing>
          <wp:inline>
            <wp:extent cx="3733800" cy="1808559"/>
            <wp:effectExtent b="0" l="0" r="0" t="0"/>
            <wp:docPr descr="Проверка режима работы SELinux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режима работы SELinux</w:t>
      </w:r>
    </w:p>
    <w:p>
      <w:pPr>
        <w:pStyle w:val="BodyText"/>
      </w:pPr>
      <w:r>
        <w:t xml:space="preserve">Обратимся с помощью браузера к веб-серверу, запущенному на нашем компьютере, и убедимся, что последний работает(рис. 4).</w:t>
      </w:r>
    </w:p>
    <w:p>
      <w:pPr>
        <w:pStyle w:val="CaptionedFigure"/>
      </w:pPr>
      <w:r>
        <w:drawing>
          <wp:inline>
            <wp:extent cx="3733800" cy="1814063"/>
            <wp:effectExtent b="0" l="0" r="0" t="0"/>
            <wp:docPr descr="Проверка статуса веб-серве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статуса веб-сервера</w:t>
      </w:r>
    </w:p>
    <w:p>
      <w:pPr>
        <w:pStyle w:val="BodyText"/>
      </w:pPr>
      <w:r>
        <w:t xml:space="preserve">Найдем веб-сервер Apache в списке процессов, определим его контекст</w:t>
      </w:r>
      <w:r>
        <w:t xml:space="preserve"> </w:t>
      </w:r>
      <w:r>
        <w:t xml:space="preserve">безопасности (рис. 5). Информация о контексте находится в первом столбце.</w:t>
      </w:r>
    </w:p>
    <w:p>
      <w:pPr>
        <w:pStyle w:val="CaptionedFigure"/>
      </w:pPr>
      <w:r>
        <w:drawing>
          <wp:inline>
            <wp:extent cx="3733800" cy="497614"/>
            <wp:effectExtent b="0" l="0" r="0" t="0"/>
            <wp:docPr descr="Контекст безопасности Apache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Контекст безопасности Apache</w:t>
      </w:r>
    </w:p>
    <w:p>
      <w:pPr>
        <w:pStyle w:val="BodyText"/>
      </w:pPr>
      <w:r>
        <w:t xml:space="preserve">Посмотрим текущее состояние переключателей SELinux для Apache с</w:t>
      </w:r>
      <w:r>
        <w:t xml:space="preserve"> </w:t>
      </w:r>
      <w:r>
        <w:t xml:space="preserve">помощью команды (рис. 6).</w:t>
      </w:r>
    </w:p>
    <w:p>
      <w:pPr>
        <w:pStyle w:val="CaptionedFigure"/>
      </w:pPr>
      <w:r>
        <w:drawing>
          <wp:inline>
            <wp:extent cx="3649915" cy="3304134"/>
            <wp:effectExtent b="0" l="0" r="0" t="0"/>
            <wp:docPr descr="Текущее состояние переключателей SELinux для Apache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33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Текущее состояние переключателей SELinux для Apache</w:t>
      </w:r>
    </w:p>
    <w:p>
      <w:pPr>
        <w:pStyle w:val="BodyText"/>
      </w:pPr>
      <w:r>
        <w:t xml:space="preserve">Посмотрим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, также</w:t>
      </w:r>
      <w:r>
        <w:t xml:space="preserve"> </w:t>
      </w:r>
      <w:r>
        <w:t xml:space="preserve">определите множество пользователей, ролей, типов (рис. 7;8).</w:t>
      </w:r>
    </w:p>
    <w:p>
      <w:pPr>
        <w:pStyle w:val="CaptionedFigure"/>
      </w:pPr>
      <w:r>
        <w:drawing>
          <wp:inline>
            <wp:extent cx="3703704" cy="3473183"/>
            <wp:effectExtent b="0" l="0" r="0" t="0"/>
            <wp:docPr descr="Статистика по политик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347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Статистика по политике</w:t>
      </w:r>
    </w:p>
    <w:p>
      <w:pPr>
        <w:pStyle w:val="CaptionedFigure"/>
      </w:pPr>
      <w:r>
        <w:drawing>
          <wp:inline>
            <wp:extent cx="3396342" cy="5248194"/>
            <wp:effectExtent b="0" l="0" r="0" t="0"/>
            <wp:docPr descr="Множество пользователей, ролей, типов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524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Множество пользователей, ролей, типов</w:t>
      </w:r>
    </w:p>
    <w:p>
      <w:pPr>
        <w:pStyle w:val="BodyText"/>
      </w:pPr>
      <w:r>
        <w:t xml:space="preserve">Определите тип файлов и поддиректорий, находящихся в директории</w:t>
      </w:r>
      <w:r>
        <w:t xml:space="preserve"> </w:t>
      </w:r>
      <w:r>
        <w:t xml:space="preserve">/var/www (рис. 9). Увидим, что есть директория, содержащая cgi-скрипты, и директория /var/www/html, содержащая все скрипты httpd(в данный момент пустая).</w:t>
      </w:r>
    </w:p>
    <w:p>
      <w:pPr>
        <w:pStyle w:val="CaptionedFigure"/>
      </w:pPr>
      <w:r>
        <w:drawing>
          <wp:inline>
            <wp:extent cx="3733800" cy="619820"/>
            <wp:effectExtent b="0" l="0" r="0" t="0"/>
            <wp:docPr descr="Просмотр типов директорий в /var/www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типов директорий в /var/www</w:t>
      </w:r>
    </w:p>
    <w:p>
      <w:pPr>
        <w:pStyle w:val="BodyText"/>
      </w:pPr>
      <w:r>
        <w:t xml:space="preserve">Создадим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t xml:space="preserve">/var/www/html/test.html следующего содержания (рис. 10).</w:t>
      </w:r>
    </w:p>
    <w:p>
      <w:pPr>
        <w:pStyle w:val="CaptionedFigure"/>
      </w:pPr>
      <w:r>
        <w:drawing>
          <wp:inline>
            <wp:extent cx="2474258" cy="783771"/>
            <wp:effectExtent b="0" l="0" r="0" t="0"/>
            <wp:docPr descr="Содержимое файла /var/www/html/test.html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Содержимое файла /var/www/html/test.html</w:t>
      </w:r>
    </w:p>
    <w:p>
      <w:pPr>
        <w:pStyle w:val="BodyText"/>
      </w:pPr>
      <w:r>
        <w:t xml:space="preserve">Проверим контекст созданного вами файла, который был задан по умолчанию этому файлу (рис. 11). Увидим, что файлам по умолчанию сопоставляется свободный пользователь SELinux unconfined_u, указана роль object_r используется по умолчанию для файлов на «постоянных» носителях и на сетевых файловых системах и тип httpd_sys_content_t, который позволяет процессу httpd получить доступ к файлу.</w:t>
      </w:r>
    </w:p>
    <w:p>
      <w:pPr>
        <w:pStyle w:val="CaptionedFigure"/>
      </w:pPr>
      <w:r>
        <w:drawing>
          <wp:inline>
            <wp:extent cx="3733800" cy="745104"/>
            <wp:effectExtent b="0" l="0" r="0" t="0"/>
            <wp:docPr descr="Проверка контекста файл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контекста файла</w:t>
      </w:r>
    </w:p>
    <w:p>
      <w:pPr>
        <w:pStyle w:val="BodyText"/>
      </w:pPr>
      <w:r>
        <w:t xml:space="preserve">Обратимся к файлу через веб-сервер, введя в браузере адрес</w:t>
      </w:r>
      <w:r>
        <w:t xml:space="preserve"> </w:t>
      </w:r>
      <w:r>
        <w:t xml:space="preserve">http://127.0.0.1/test.html. Убедимся, что файл успешно отображается (рис. 12).</w:t>
      </w:r>
    </w:p>
    <w:p>
      <w:pPr>
        <w:pStyle w:val="CaptionedFigure"/>
      </w:pPr>
      <w:r>
        <w:drawing>
          <wp:inline>
            <wp:extent cx="3733800" cy="1001893"/>
            <wp:effectExtent b="0" l="0" r="0" t="0"/>
            <wp:docPr descr="Запуск файла через веб-браузер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файла через веб-браузер</w:t>
      </w:r>
    </w:p>
    <w:p>
      <w:pPr>
        <w:pStyle w:val="BodyText"/>
      </w:pPr>
      <w:r>
        <w:t xml:space="preserve">Изучив справку man httpd_selinux, выясним, какие контексты файлов определены для httpd. Сопоставив их с типом файла test.html увидим, что его контекст httpd_sys_content_t для содержимого, которое должно быть доступно для всех скриптов httpd и для самого демона.</w:t>
      </w:r>
    </w:p>
    <w:p>
      <w:pPr>
        <w:pStyle w:val="BodyText"/>
      </w:pPr>
      <w:r>
        <w:t xml:space="preserve">Изменим контекст файла /var/www/html/test.html с httpd_sys_content_t на тот, к которому процесс httpd не должен иметь доступа – samba_share_t (рис. 13).</w:t>
      </w:r>
    </w:p>
    <w:p>
      <w:pPr>
        <w:pStyle w:val="CaptionedFigure"/>
      </w:pPr>
      <w:r>
        <w:drawing>
          <wp:inline>
            <wp:extent cx="3733800" cy="517983"/>
            <wp:effectExtent b="0" l="0" r="0" t="0"/>
            <wp:docPr descr="Изменение контекста файла /var/www/html/test.html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контекста файла /var/www/html/test.html</w:t>
      </w:r>
    </w:p>
    <w:p>
      <w:pPr>
        <w:pStyle w:val="BodyText"/>
      </w:pPr>
      <w:r>
        <w:t xml:space="preserve">Теперь снова попробуем получить доступ к файлу через браузер и получим отказ (рис. 14).</w:t>
      </w:r>
    </w:p>
    <w:p>
      <w:pPr>
        <w:pStyle w:val="CaptionedFigure"/>
      </w:pPr>
      <w:r>
        <w:drawing>
          <wp:inline>
            <wp:extent cx="3733800" cy="1219199"/>
            <wp:effectExtent b="0" l="0" r="0" t="0"/>
            <wp:docPr descr="Отказ в доступе к html-странице через браузер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Отказ в доступе к html-странице через браузер</w:t>
      </w:r>
    </w:p>
    <w:p>
      <w:pPr>
        <w:pStyle w:val="BodyText"/>
      </w:pPr>
      <w:r>
        <w:t xml:space="preserve">Посмотрим log-файлы веб-сервера Apache и системный лог-файл и увидим, что отказ происходит, так как доступ запрещен SELinux именно к веб-серверу(на просто просмотр текстовых файлов это не влияет) (рис. 15).</w:t>
      </w:r>
    </w:p>
    <w:p>
      <w:pPr>
        <w:pStyle w:val="CaptionedFigure"/>
      </w:pPr>
      <w:r>
        <w:drawing>
          <wp:inline>
            <wp:extent cx="3733800" cy="711505"/>
            <wp:effectExtent b="0" l="0" r="0" t="0"/>
            <wp:docPr descr="Просмотр log-файлов веб-сервера Apache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 log-файлов веб-сервера Apache</w:t>
      </w:r>
    </w:p>
    <w:p>
      <w:pPr>
        <w:pStyle w:val="BodyText"/>
      </w:pPr>
      <w:r>
        <w:t xml:space="preserve">Запустим веб-сервер Apache на прослушивание ТСР-порта 81. Для этого в файле /etc/httpd/httpd.conf найдем строчку Listen 80 и заменим её на Listen 81 (рис. 16).</w:t>
      </w:r>
    </w:p>
    <w:p>
      <w:pPr>
        <w:pStyle w:val="CaptionedFigure"/>
      </w:pPr>
      <w:r>
        <w:drawing>
          <wp:inline>
            <wp:extent cx="1997848" cy="507146"/>
            <wp:effectExtent b="0" l="0" r="0" t="0"/>
            <wp:docPr descr="Замена прослушиваемого порт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48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Замена прослушиваемого порта</w:t>
      </w:r>
    </w:p>
    <w:p>
      <w:pPr>
        <w:pStyle w:val="BodyText"/>
      </w:pPr>
      <w:r>
        <w:t xml:space="preserve">Выполним перезапуск веб-сервера Apache. Произошёл сбой, потому что порт</w:t>
      </w:r>
      <w:r>
        <w:t xml:space="preserve"> </w:t>
      </w:r>
      <w:r>
        <w:t xml:space="preserve">80 для локальной сети, а 81 нет (рис. 17).</w:t>
      </w:r>
    </w:p>
    <w:p>
      <w:pPr>
        <w:pStyle w:val="CaptionedFigure"/>
      </w:pPr>
      <w:r>
        <w:drawing>
          <wp:inline>
            <wp:extent cx="3733800" cy="2292343"/>
            <wp:effectExtent b="0" l="0" r="0" t="0"/>
            <wp:docPr descr="Открытие html-страницы через браузер при прослушивании 81 порт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Открытие html-страницы через браузер при прослушивании 81 порта</w:t>
      </w:r>
    </w:p>
    <w:p>
      <w:pPr>
        <w:pStyle w:val="BodyText"/>
      </w:pPr>
      <w:r>
        <w:t xml:space="preserve">В логах можно увидеть запуск сервера через порт 81 (рис. 18).</w:t>
      </w:r>
    </w:p>
    <w:p>
      <w:pPr>
        <w:pStyle w:val="CaptionedFigure"/>
      </w:pPr>
      <w:r>
        <w:drawing>
          <wp:inline>
            <wp:extent cx="3733800" cy="384291"/>
            <wp:effectExtent b="0" l="0" r="0" t="0"/>
            <wp:docPr descr="Проверка запуска сервера через порт 81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запуска сервера через порт 81</w:t>
      </w:r>
    </w:p>
    <w:p>
      <w:pPr>
        <w:pStyle w:val="BodyText"/>
      </w:pPr>
      <w:r>
        <w:t xml:space="preserve">Проверим какие порты у нас добавлены в semanage (рис. 19).</w:t>
      </w:r>
    </w:p>
    <w:p>
      <w:pPr>
        <w:pStyle w:val="CaptionedFigure"/>
      </w:pPr>
      <w:r>
        <w:drawing>
          <wp:inline>
            <wp:extent cx="3733800" cy="436880"/>
            <wp:effectExtent b="0" l="0" r="0" t="0"/>
            <wp:docPr descr="Список портов в semanage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Список портов в semanage</w:t>
      </w:r>
    </w:p>
    <w:p>
      <w:pPr>
        <w:pStyle w:val="BodyText"/>
      </w:pPr>
      <w:r>
        <w:t xml:space="preserve">Вернем контекст httpd_sys_cоntent__t к файлу /var/www/html/ test.html (рис. 20)..</w:t>
      </w:r>
      <w:r>
        <w:t xml:space="preserve"> </w:t>
      </w:r>
      <w:r>
        <w:t xml:space="preserve">После этого попробуем получить доступ к файлу через веб-сервер, введя в браузере адрес http://127.0.0.1:81/test.html. Доступ успешно получен.</w:t>
      </w:r>
      <w:r>
        <w:t xml:space="preserve"> </w:t>
      </w:r>
      <w:r>
        <w:t xml:space="preserve">Увидим содержимое файла – слово «test» (рис. 21).</w:t>
      </w:r>
    </w:p>
    <w:p>
      <w:pPr>
        <w:pStyle w:val="CaptionedFigure"/>
      </w:pPr>
      <w:r>
        <w:drawing>
          <wp:inline>
            <wp:extent cx="3733800" cy="382063"/>
            <wp:effectExtent b="0" l="0" r="0" t="0"/>
            <wp:docPr descr="Возвращение прежнего контекста файла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Возвращение прежнего контекста файла</w:t>
      </w:r>
    </w:p>
    <w:p>
      <w:pPr>
        <w:pStyle w:val="CaptionedFigure"/>
      </w:pPr>
      <w:r>
        <w:drawing>
          <wp:inline>
            <wp:extent cx="3733800" cy="825319"/>
            <wp:effectExtent b="0" l="0" r="0" t="0"/>
            <wp:docPr descr="Открытие html-страницы через браузер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Открытие html-страницы через браузер</w:t>
      </w:r>
    </w:p>
    <w:p>
      <w:pPr>
        <w:pStyle w:val="BodyText"/>
      </w:pPr>
      <w:r>
        <w:t xml:space="preserve">Исправим обратно конфигурационный файл apache, вернув Listen 80. Удалим привязку http_port_t к 81 порту.</w:t>
      </w:r>
      <w:r>
        <w:t xml:space="preserve"> </w:t>
      </w:r>
      <w:r>
        <w:t xml:space="preserve">Удалим файл /var/www/html/test.html: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мною были развиты навыки администрирования ОС Linux, получено первое практическое знакомство с технологией SELinux, а также</w:t>
      </w:r>
      <w:r>
        <w:t xml:space="preserve"> </w:t>
      </w:r>
      <w:r>
        <w:t xml:space="preserve">проверена работа SELinx на практике совместно с веб-сервером Apache.</w:t>
      </w:r>
    </w:p>
    <w:bookmarkEnd w:id="86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Start w:id="88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SELinux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87">
        <w:r>
          <w:rPr>
            <w:rStyle w:val="Hyperlink"/>
          </w:rPr>
          <w:t xml:space="preserve">https://ru.wikipedia.org/wiki/SELinux</w:t>
        </w:r>
      </w:hyperlink>
      <w:r>
        <w:t xml:space="preserve">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87" Target="https://ru.wikipedia.org/wiki/SE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ru.wikipedia.org/wiki/SE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Беличева Дарья Михайловна</dc:creator>
  <dc:language>ru-RU</dc:language>
  <cp:keywords/>
  <dcterms:created xsi:type="dcterms:W3CDTF">2024-10-11T23:46:18Z</dcterms:created>
  <dcterms:modified xsi:type="dcterms:W3CDTF">2024-10-11T23:46:18Z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Мандатное разграничение прав в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