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Пятый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навыки использования Burp Suite.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Burp Suite – это платформа для выполнения тестирования по безопасности веб-приложений. В этой заметке я поделюсь несколькими приёмами, как использовать данный инструмент более эффективно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Пакет состоит из набора утилит, среди которых есть инструменты для сбора и анализа информации, моделирования разных типов атак, перехвата запросов и ответов сервера и так далее.</w:t>
      </w:r>
    </w:p>
    <w:p>
      <w:pPr>
        <w:numPr>
          <w:ilvl w:val="0"/>
          <w:numId w:val="1001"/>
        </w:numPr>
        <w:pStyle w:val="Compact"/>
      </w:pPr>
      <w:r>
        <w:t xml:space="preserve">Target – создает карту сайта с подробной информацией о тестируемом приложении. Показывает, какие цели находятся в процессе тестирования, и позволяет управлять процессом обнаружения уязвимостей.</w:t>
      </w:r>
    </w:p>
    <w:p>
      <w:pPr>
        <w:numPr>
          <w:ilvl w:val="0"/>
          <w:numId w:val="1001"/>
        </w:numPr>
        <w:pStyle w:val="Compact"/>
      </w:pPr>
      <w:r>
        <w:t xml:space="preserve">Proxy – находится между браузером пользователя и тестируемым веб-приложением. Перехватывает все сообщения, передаваемые по протоколу HTTP(S).</w:t>
      </w:r>
    </w:p>
    <w:p>
      <w:pPr>
        <w:numPr>
          <w:ilvl w:val="0"/>
          <w:numId w:val="1001"/>
        </w:numPr>
        <w:pStyle w:val="Compact"/>
      </w:pPr>
      <w:r>
        <w:t xml:space="preserve">Spider – автоматически собирает данные о функциях и компонентах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Clickbandit – моделирует кликджекинг-атаки (clickjacking attacks), при которых поверх страницы приложения загружается невидимая страница, подготовленная злоумышленниками.</w:t>
      </w:r>
    </w:p>
    <w:p>
      <w:pPr>
        <w:numPr>
          <w:ilvl w:val="0"/>
          <w:numId w:val="1001"/>
        </w:numPr>
        <w:pStyle w:val="Compact"/>
      </w:pPr>
      <w:r>
        <w:t xml:space="preserve">DOM Invader – проверяет веб-приложение на уязвимость DOM-based межсайтовому скриптингу ( основанномуна объектной модели документа), внедрению вредоносного кода на страницу.</w:t>
      </w:r>
    </w:p>
    <w:p>
      <w:pPr>
        <w:numPr>
          <w:ilvl w:val="0"/>
          <w:numId w:val="1001"/>
        </w:numPr>
        <w:pStyle w:val="Compact"/>
      </w:pPr>
      <w:r>
        <w:t xml:space="preserve">Scanner (в профессиональной и корпоративной редакциях) — автоматически сканирует уязвимости в веб-приложениях. Также существует в бесплатной версии, но, предоставляет только описание возможностей.</w:t>
      </w:r>
      <w:r>
        <w:t xml:space="preserve"> </w:t>
      </w:r>
      <w:r>
        <w:t xml:space="preserve">Intruder – проводит автоматические атаки различного типа, от перебора открытых веб-директорий до внедрения SQL-кода.</w:t>
      </w:r>
    </w:p>
    <w:p>
      <w:pPr>
        <w:numPr>
          <w:ilvl w:val="0"/>
          <w:numId w:val="1001"/>
        </w:numPr>
        <w:pStyle w:val="Compact"/>
      </w:pPr>
      <w:r>
        <w:t xml:space="preserve">Repeater – утилита для ручного манипулирования и повторной выдачи отдельных HTTP-запросов и анализа ответов приложения. Отправить запрос в Repeater можно из любой другой утилиты Burp Suite.</w:t>
      </w:r>
    </w:p>
    <w:p>
      <w:pPr>
        <w:numPr>
          <w:ilvl w:val="0"/>
          <w:numId w:val="1001"/>
        </w:numPr>
        <w:pStyle w:val="Compact"/>
      </w:pPr>
      <w:r>
        <w:t xml:space="preserve">Sequencer – анализирует качество случайности в выборке элементов данных. Можно использовать для тестирования сеансовых маркеров приложения или других важных элементов данных, которые должны быть непредсказуемыми, например маркеров анти-CSRF, маркеров сброса пароля и так далее.</w:t>
      </w:r>
      <w:r>
        <w:t xml:space="preserve"> </w:t>
      </w:r>
      <w:r>
        <w:t xml:space="preserve">Decoder–— преобразовывает закодированные данные в исходную форму или необработанные в различные закодированные и хешированные формы. Способен распознавать несколько форматов кодирования, используя эвристические методы.</w:t>
      </w:r>
      <w:r>
        <w:t xml:space="preserve"> </w:t>
      </w:r>
      <w:r>
        <w:t xml:space="preserve">Comparer – предоставляет функцию визуального сравнения различий данных.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Скачаем Burp Suite с официального сайта (рис. 1).</w:t>
      </w:r>
    </w:p>
    <w:p>
      <w:pPr>
        <w:pStyle w:val="CaptionedFigure"/>
      </w:pPr>
      <w:r>
        <w:drawing>
          <wp:inline>
            <wp:extent cx="3733800" cy="1488898"/>
            <wp:effectExtent b="0" l="0" r="0" t="0"/>
            <wp:docPr descr="Скачивание Burp Suit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Burp Suite</w:t>
      </w:r>
    </w:p>
    <w:p>
      <w:pPr>
        <w:pStyle w:val="BodyText"/>
      </w:pPr>
      <w:r>
        <w:t xml:space="preserve">Далее сделаем скачанный файл исполняемым и запустим его (рис. 2).</w:t>
      </w:r>
    </w:p>
    <w:p>
      <w:pPr>
        <w:pStyle w:val="CaptionedFigure"/>
      </w:pPr>
      <w:r>
        <w:drawing>
          <wp:inline>
            <wp:extent cx="3733800" cy="885615"/>
            <wp:effectExtent b="0" l="0" r="0" t="0"/>
            <wp:docPr descr="Установка ПО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ПО</w:t>
      </w:r>
    </w:p>
    <w:p>
      <w:pPr>
        <w:pStyle w:val="BodyText"/>
      </w:pPr>
      <w:r>
        <w:t xml:space="preserve">После того, как мы открыли Burp Suite идет первоначальная настройка программы. В первом окне выберем</w:t>
      </w:r>
      <w:r>
        <w:t xml:space="preserve"> </w:t>
      </w:r>
      <w:r>
        <w:t xml:space="preserve">“</w:t>
      </w:r>
      <w:r>
        <w:t xml:space="preserve">Temponary project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2626743"/>
            <wp:effectExtent b="0" l="0" r="0" t="0"/>
            <wp:docPr descr="Первоначальная настройка программ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Первоначальная настройка программы</w:t>
      </w:r>
    </w:p>
    <w:p>
      <w:pPr>
        <w:pStyle w:val="BodyText"/>
      </w:pPr>
      <w:r>
        <w:t xml:space="preserve">Затем выберите</w:t>
      </w:r>
      <w:r>
        <w:t xml:space="preserve"> </w:t>
      </w:r>
      <w:r>
        <w:t xml:space="preserve">“</w:t>
      </w:r>
      <w:r>
        <w:t xml:space="preserve">Use Burp defaults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671295"/>
            <wp:effectExtent b="0" l="0" r="0" t="0"/>
            <wp:docPr descr="Первоначальная настройка программ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Первоначальная настройка программы</w:t>
      </w:r>
    </w:p>
    <w:p>
      <w:pPr>
        <w:pStyle w:val="BodyText"/>
      </w:pPr>
      <w:r>
        <w:t xml:space="preserve">Когда вы пропускаете запросы к сайтам через прокси Burp Suite, то программа позволяет вам редактировать на лету любой из запросов или ответов, вы можете отслеживать все передаваемые заголовки и многое другое. Когда вы запускаете программу, прокси уже запущен, осталось только настроить браузер для работы с ним. Для этого перейдем в настройки прокси сервера в браузере и укажем там адрес прокси 127.0.0.1, а порт 8080 (рис. 5).</w:t>
      </w:r>
    </w:p>
    <w:p>
      <w:pPr>
        <w:pStyle w:val="CaptionedFigure"/>
      </w:pPr>
      <w:r>
        <w:drawing>
          <wp:inline>
            <wp:extent cx="3733800" cy="3325571"/>
            <wp:effectExtent b="0" l="0" r="0" t="0"/>
            <wp:docPr descr="Настройка прокси сервер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прокси сервера</w:t>
      </w:r>
    </w:p>
    <w:p>
      <w:pPr>
        <w:pStyle w:val="BodyText"/>
      </w:pPr>
      <w:r>
        <w:t xml:space="preserve">Чтобы Burp Suite исправно работал с локальным сервером, необходимо установить параметр</w:t>
      </w:r>
      <w:r>
        <w:t xml:space="preserve"> </w:t>
      </w:r>
      <w:r>
        <w:rPr>
          <w:rStyle w:val="VerbatimChar"/>
        </w:rPr>
        <w:t xml:space="preserve">network_allow_hijacking_loacalhost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832761"/>
            <wp:effectExtent b="0" l="0" r="0" t="0"/>
            <wp:docPr descr="Настройки параметров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Настройки параметров</w:t>
      </w:r>
    </w:p>
    <w:p>
      <w:pPr>
        <w:pStyle w:val="BodyText"/>
      </w:pPr>
      <w:r>
        <w:t xml:space="preserve">Возвращаясь к Burp Suit, во вкладке Proxy устанавливаем</w:t>
      </w:r>
      <w:r>
        <w:t xml:space="preserve"> </w:t>
      </w:r>
      <w:r>
        <w:t xml:space="preserve">“</w:t>
      </w:r>
      <w:r>
        <w:t xml:space="preserve">Intercept is on</w:t>
      </w:r>
      <w:r>
        <w:t xml:space="preserve">”</w:t>
      </w:r>
      <w:r>
        <w:t xml:space="preserve">. Будем проверять работу Burp Suit на DVWA (предварительно запустив для него все сервисы). Вводим в браузере адрес DVWA. Чтобы запрос обработался нам надо выбрать запрос и нажать кнопку</w:t>
      </w:r>
      <w:r>
        <w:t xml:space="preserve"> </w:t>
      </w:r>
      <w:r>
        <w:t xml:space="preserve">“</w:t>
      </w:r>
      <w:r>
        <w:t xml:space="preserve">Forward</w:t>
      </w:r>
      <w:r>
        <w:t xml:space="preserve">”</w:t>
      </w:r>
      <w:r>
        <w:t xml:space="preserve"> </w:t>
      </w:r>
      <w:r>
        <w:t xml:space="preserve">в Burp Suit. Запрос успешно отправлен, и мы попали за страницу авторизации (рис. 7).</w:t>
      </w:r>
    </w:p>
    <w:p>
      <w:pPr>
        <w:pStyle w:val="CaptionedFigure"/>
      </w:pPr>
      <w:r>
        <w:drawing>
          <wp:inline>
            <wp:extent cx="3733800" cy="1500575"/>
            <wp:effectExtent b="0" l="0" r="0" t="0"/>
            <wp:docPr descr="Страница авторизации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Страница авторизации</w:t>
      </w:r>
    </w:p>
    <w:p>
      <w:pPr>
        <w:pStyle w:val="BodyText"/>
      </w:pPr>
      <w:r>
        <w:t xml:space="preserve">Можем также посмотреть http историю запросов (рис. 8).</w:t>
      </w:r>
    </w:p>
    <w:p>
      <w:pPr>
        <w:pStyle w:val="CaptionedFigure"/>
      </w:pPr>
      <w:r>
        <w:drawing>
          <wp:inline>
            <wp:extent cx="3733800" cy="2740768"/>
            <wp:effectExtent b="0" l="0" r="0" t="0"/>
            <wp:docPr descr="http история запросов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http история запросов</w:t>
      </w:r>
    </w:p>
    <w:p>
      <w:pPr>
        <w:pStyle w:val="BodyText"/>
      </w:pPr>
      <w:r>
        <w:t xml:space="preserve">Попробуем авторизоваться с неправильными данными и посмотреть на запрос. Можно увидеть в POST-запросе логин и пароль, с которыми была попытка авторизоваться (рис. 9).</w:t>
      </w:r>
    </w:p>
    <w:p>
      <w:pPr>
        <w:pStyle w:val="CaptionedFigure"/>
      </w:pPr>
      <w:r>
        <w:drawing>
          <wp:inline>
            <wp:extent cx="3733800" cy="2082521"/>
            <wp:effectExtent b="0" l="0" r="0" t="0"/>
            <wp:docPr descr="Попытка авторизации с неправильными данные, просмотр POST-запроса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Попытка авторизации с неправильными данные, просмотр POST-запроса</w:t>
      </w:r>
    </w:p>
    <w:p>
      <w:pPr>
        <w:pStyle w:val="BodyText"/>
      </w:pPr>
      <w:r>
        <w:t xml:space="preserve">Отправим наш запрос к Intruder (рис. 10).</w:t>
      </w:r>
    </w:p>
    <w:p>
      <w:pPr>
        <w:pStyle w:val="CaptionedFigure"/>
      </w:pPr>
      <w:r>
        <w:drawing>
          <wp:inline>
            <wp:extent cx="3733800" cy="2421040"/>
            <wp:effectExtent b="0" l="0" r="0" t="0"/>
            <wp:docPr descr="Отправка запроса к Intruder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запроса к Intruder</w:t>
      </w:r>
    </w:p>
    <w:p>
      <w:pPr>
        <w:pStyle w:val="BodyText"/>
      </w:pPr>
      <w:r>
        <w:t xml:space="preserve">Здесь мы можем задать параметры атаки: ставим тип атаки Cluster bomb, оборачиваем логин и пароль в специальные символы (потому что подбирать будем их) (рис. 11).</w:t>
      </w:r>
    </w:p>
    <w:p>
      <w:pPr>
        <w:pStyle w:val="CaptionedFigure"/>
      </w:pPr>
      <w:r>
        <w:drawing>
          <wp:inline>
            <wp:extent cx="3733800" cy="1779948"/>
            <wp:effectExtent b="0" l="0" r="0" t="0"/>
            <wp:docPr descr="Задание параметров атаки" title="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параметров атаки</w:t>
      </w:r>
    </w:p>
    <w:p>
      <w:pPr>
        <w:pStyle w:val="BodyText"/>
      </w:pPr>
      <w:r>
        <w:t xml:space="preserve">Переходим к заданию Simple list. У нас их будет два: для логина и для пароля. Мы просто вручную введем сюда рандомные данные, которые хотим проверить (не забудем ввести подходящий пароль) (рис. 12;13).</w:t>
      </w:r>
    </w:p>
    <w:p>
      <w:pPr>
        <w:pStyle w:val="CaptionedFigure"/>
      </w:pPr>
      <w:r>
        <w:drawing>
          <wp:inline>
            <wp:extent cx="3733800" cy="3439992"/>
            <wp:effectExtent b="0" l="0" r="0" t="0"/>
            <wp:docPr descr="Первый Simple list" title="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Первый Simple list</w:t>
      </w:r>
    </w:p>
    <w:p>
      <w:pPr>
        <w:pStyle w:val="CaptionedFigure"/>
      </w:pPr>
      <w:r>
        <w:drawing>
          <wp:inline>
            <wp:extent cx="3733800" cy="3727048"/>
            <wp:effectExtent b="0" l="0" r="0" t="0"/>
            <wp:docPr descr="Второй Simple list" title="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Второй Simple list</w:t>
      </w:r>
    </w:p>
    <w:p>
      <w:pPr>
        <w:pStyle w:val="BodyText"/>
      </w:pPr>
      <w:r>
        <w:t xml:space="preserve">Запускаем атаку, нам вывелось 16 возможных вариантов с введенными мною логинами и паролями (рис. 14).</w:t>
      </w:r>
    </w:p>
    <w:p>
      <w:pPr>
        <w:pStyle w:val="CaptionedFigure"/>
      </w:pPr>
      <w:r>
        <w:drawing>
          <wp:inline>
            <wp:extent cx="3733800" cy="1436292"/>
            <wp:effectExtent b="0" l="0" r="0" t="0"/>
            <wp:docPr descr="Результаты атаки" title="" id="62" name="Picture"/>
            <a:graphic>
              <a:graphicData uri="http://schemas.openxmlformats.org/drawingml/2006/picture">
                <pic:pic>
                  <pic:nvPicPr>
                    <pic:cNvPr descr="image/1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Результаты атаки</w:t>
      </w:r>
    </w:p>
    <w:p>
      <w:pPr>
        <w:pStyle w:val="BodyText"/>
      </w:pPr>
      <w:r>
        <w:t xml:space="preserve">Посмотрим на ответ полученный с использованием неправильных данных. Увидим, что мы остались на странице авторизации login.php (рис. 15).</w:t>
      </w:r>
    </w:p>
    <w:p>
      <w:pPr>
        <w:pStyle w:val="CaptionedFigure"/>
      </w:pPr>
      <w:r>
        <w:drawing>
          <wp:inline>
            <wp:extent cx="3733800" cy="2533080"/>
            <wp:effectExtent b="0" l="0" r="0" t="0"/>
            <wp:docPr descr="Результат неправильного запроса" title="" id="65" name="Picture"/>
            <a:graphic>
              <a:graphicData uri="http://schemas.openxmlformats.org/drawingml/2006/picture">
                <pic:pic>
                  <pic:nvPicPr>
                    <pic:cNvPr descr="image/1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 неправильного запроса</w:t>
      </w:r>
    </w:p>
    <w:p>
      <w:pPr>
        <w:pStyle w:val="BodyText"/>
      </w:pPr>
      <w:r>
        <w:t xml:space="preserve">Посмотрим на ответ полученный с использованием правильных данных (admin, password). Увидим, что мы перешли на страницу DVWA index.php (рис. 16).</w:t>
      </w:r>
    </w:p>
    <w:p>
      <w:pPr>
        <w:pStyle w:val="CaptionedFigure"/>
      </w:pPr>
      <w:r>
        <w:drawing>
          <wp:inline>
            <wp:extent cx="3733800" cy="2266078"/>
            <wp:effectExtent b="0" l="0" r="0" t="0"/>
            <wp:docPr descr="Результат правильного запроса" title="" id="68" name="Picture"/>
            <a:graphic>
              <a:graphicData uri="http://schemas.openxmlformats.org/drawingml/2006/picture">
                <pic:pic>
                  <pic:nvPicPr>
                    <pic:cNvPr descr="image/1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правильного запроса</w:t>
      </w:r>
    </w:p>
    <w:p>
      <w:pPr>
        <w:pStyle w:val="BodyText"/>
      </w:pPr>
      <w:r>
        <w:t xml:space="preserve">Также можем отправить результаты атаки к Repeater (рис. 17).</w:t>
      </w:r>
    </w:p>
    <w:p>
      <w:pPr>
        <w:pStyle w:val="CaptionedFigure"/>
      </w:pPr>
      <w:r>
        <w:drawing>
          <wp:inline>
            <wp:extent cx="3733800" cy="2471420"/>
            <wp:effectExtent b="0" l="0" r="0" t="0"/>
            <wp:docPr descr="Вкладка Repeater" title="" id="71" name="Picture"/>
            <a:graphic>
              <a:graphicData uri="http://schemas.openxmlformats.org/drawingml/2006/picture">
                <pic:pic>
                  <pic:nvPicPr>
                    <pic:cNvPr descr="image/1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Вкладка Repeater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данного этапа проекта я освоила навыки использования Burp Suite.</w:t>
      </w:r>
    </w:p>
    <w:bookmarkEnd w:id="74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Start w:id="76" w:name="ref-hab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Burp Suite Tips [Электронный ресурс]. 2020. URL:</w:t>
      </w:r>
      <w:r>
        <w:t xml:space="preserve"> </w:t>
      </w:r>
      <w:hyperlink r:id="rId75">
        <w:r>
          <w:rPr>
            <w:rStyle w:val="Hyperlink"/>
          </w:rPr>
          <w:t xml:space="preserve">https://habr.com/ru/articles/510612/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75" Target="https://habr.com/ru/articles/51061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habr.com/ru/articles/51061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Пятый этап индивидуального проекта</dc:title>
  <dc:creator>Беличева Дарья Михайловна</dc:creator>
  <dc:language>ru-RU</dc:language>
  <cp:keywords/>
  <dcterms:created xsi:type="dcterms:W3CDTF">2024-10-12T16:46:12Z</dcterms:created>
  <dcterms:modified xsi:type="dcterms:W3CDTF">2024-10-12T16:46:12Z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Burp Suite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