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Office_Word_Document1.docx" ContentType="application/vnd.openxmlformats-officedocument.wordprocessingml.document"/>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b w:val="0"/>
          <w:i w:val="0"/>
        </w:rPr>
        <w:t>BigFix Master Class 2026</w:t>
      </w:r>
    </w:p>
    <w:p>
      <w:pPr>
        <w:pStyle w:val="Subtitle"/>
        <w:jc w:val="center"/>
      </w:pPr>
      <w:r>
        <w:rPr>
          <w:b w:val="0"/>
          <w:i w:val="0"/>
        </w:rPr>
        <w:t>Automated Performance and Configuration Analysis</w:t>
      </w:r>
    </w:p>
    <w:p>
      <w:pPr>
        <w:pStyle w:val="Subtitle"/>
        <w:jc w:val="center"/>
      </w:pPr>
      <w:r>
        <w:rPr>
          <w:b w:val="0"/>
          <w:i w:val="0"/>
        </w:rPr>
        <w:t>Student Lab Guide</w:t>
      </w:r>
    </w:p>
    <w:p>
      <w:pPr>
        <w:jc w:val="center"/>
      </w:pPr>
      <w:r>
        <w:rPr>
          <w:b w:val="0"/>
          <w:i w:val="0"/>
        </w:rPr>
        <w:t>Denver 2026</w:t>
      </w:r>
    </w:p>
    <w:p>
      <w:pPr>
        <w:jc w:val="center"/>
      </w:pPr>
      <w:r>
        <w:rPr>
          <w:b w:val="0"/>
          <w:i/>
        </w:rPr>
        <w:t>Working draft</w:t>
      </w:r>
    </w:p>
    <w:p/>
    <w:tbl>
      <w:tblPr>
        <w:tblStyle w:val="TableGrid"/>
        <w:tblW w:type="auto" w:w="0"/>
        <w:jc w:val="center"/>
        <w:tblLook w:firstColumn="1" w:firstRow="1" w:lastColumn="0" w:lastRow="0" w:noHBand="0" w:noVBand="1" w:val="04A0"/>
      </w:tblPr>
      <w:tblGrid>
        <w:gridCol w:w="10080"/>
      </w:tblGrid>
      <w:tr>
        <w:tc>
          <w:tcPr>
            <w:tcW w:type="dxa" w:w="10080"/>
            <w:shd w:fill="EAF4F5"/>
          </w:tcPr>
          <w:p>
            <w:pPr>
              <w:spacing w:after="0"/>
            </w:pPr>
            <w:r/>
            <w:r>
              <w:rPr>
                <w:b/>
              </w:rPr>
              <w:t xml:space="preserve">Class format: </w:t>
            </w:r>
            <w:r>
              <w:t>Three standalone Workbench modules. Agent Performance and Perfmon are the core labs; FillDB is optional when time remains.</w:t>
            </w:r>
          </w:p>
        </w:tc>
      </w:tr>
    </w:tbl>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872"/>
            <w:vAlign w:val="center"/>
            <w:shd w:fill="17707F"/>
          </w:tcPr>
          <w:p>
            <w:pPr>
              <w:spacing w:after="40"/>
            </w:pPr>
            <w:r/>
            <w:r>
              <w:rPr>
                <w:b/>
                <w:color w:val="FFFFFF"/>
              </w:rPr>
              <w:t>Release</w:t>
            </w:r>
          </w:p>
        </w:tc>
        <w:tc>
          <w:tcPr>
            <w:tcW w:type="dxa" w:w="1440"/>
            <w:vAlign w:val="center"/>
            <w:shd w:fill="17707F"/>
          </w:tcPr>
          <w:p>
            <w:pPr>
              <w:spacing w:after="40"/>
            </w:pPr>
            <w:r/>
            <w:r>
              <w:rPr>
                <w:b/>
                <w:color w:val="FFFFFF"/>
              </w:rPr>
              <w:t>Version</w:t>
            </w:r>
          </w:p>
        </w:tc>
        <w:tc>
          <w:tcPr>
            <w:tcW w:type="dxa" w:w="2880"/>
            <w:vAlign w:val="center"/>
            <w:shd w:fill="17707F"/>
          </w:tcPr>
          <w:p>
            <w:pPr>
              <w:spacing w:after="40"/>
            </w:pPr>
            <w:r/>
            <w:r>
              <w:rPr>
                <w:b/>
                <w:color w:val="FFFFFF"/>
              </w:rPr>
              <w:t>Owner</w:t>
            </w:r>
          </w:p>
        </w:tc>
        <w:tc>
          <w:tcPr>
            <w:tcW w:type="dxa" w:w="4032"/>
            <w:vAlign w:val="center"/>
            <w:shd w:fill="17707F"/>
          </w:tcPr>
          <w:p>
            <w:pPr>
              <w:spacing w:after="40"/>
            </w:pPr>
            <w:r/>
            <w:r>
              <w:rPr>
                <w:b/>
                <w:color w:val="FFFFFF"/>
              </w:rPr>
              <w:t>Comments</w:t>
            </w:r>
          </w:p>
        </w:tc>
      </w:tr>
      <w:tr>
        <w:tc>
          <w:tcPr>
            <w:tcW w:type="dxa" w:w="1872"/>
            <w:vAlign w:val="center"/>
            <w:shd w:fill="F3F8F9"/>
          </w:tcPr>
          <w:p>
            <w:pPr>
              <w:spacing w:after="40"/>
            </w:pPr>
            <w:r/>
            <w:r>
              <w:rPr>
                <w:b w:val="0"/>
              </w:rPr>
              <w:t>Working draft</w:t>
            </w:r>
          </w:p>
        </w:tc>
        <w:tc>
          <w:tcPr>
            <w:tcW w:type="dxa" w:w="1440"/>
            <w:vAlign w:val="center"/>
            <w:shd w:fill="F3F8F9"/>
          </w:tcPr>
          <w:p>
            <w:pPr>
              <w:spacing w:after="40"/>
            </w:pPr>
            <w:r/>
            <w:r>
              <w:rPr>
                <w:b w:val="0"/>
              </w:rPr>
              <w:t>0.1</w:t>
            </w:r>
          </w:p>
        </w:tc>
        <w:tc>
          <w:tcPr>
            <w:tcW w:type="dxa" w:w="2880"/>
            <w:vAlign w:val="center"/>
            <w:shd w:fill="F3F8F9"/>
          </w:tcPr>
          <w:p>
            <w:pPr>
              <w:spacing w:after="40"/>
            </w:pPr>
            <w:r/>
            <w:r>
              <w:rPr>
                <w:b w:val="0"/>
              </w:rPr>
              <w:t>Master Class team</w:t>
            </w:r>
          </w:p>
        </w:tc>
        <w:tc>
          <w:tcPr>
            <w:tcW w:type="dxa" w:w="4032"/>
            <w:vAlign w:val="center"/>
            <w:shd w:fill="F3F8F9"/>
          </w:tcPr>
          <w:p>
            <w:pPr>
              <w:spacing w:after="40"/>
            </w:pPr>
            <w:r/>
            <w:r>
              <w:rPr>
                <w:b w:val="0"/>
              </w:rPr>
              <w:t>Initial lab-guide content draft</w:t>
            </w:r>
          </w:p>
        </w:tc>
      </w:tr>
    </w:tbl>
    <w:p/>
    <w:p>
      <w:r>
        <w:br w:type="page"/>
      </w:r>
    </w:p>
    <w:p>
      <w:pPr>
        <w:pStyle w:val="Heading1"/>
      </w:pPr>
      <w:r>
        <w:rPr>
          <w:b w:val="0"/>
          <w:i w:val="0"/>
        </w:rPr>
        <w:t>Contents</w:t>
      </w:r>
    </w:p>
    <w:p>
      <w:pPr>
        <w:ind w:left="288" w:hanging="288"/>
      </w:pPr>
      <w:r>
        <w:t>- Overview and prerequisites</w:t>
      </w:r>
    </w:p>
    <w:p>
      <w:pPr>
        <w:ind w:left="288" w:hanging="288"/>
      </w:pPr>
      <w:r>
        <w:t>- Exercise 1: Client Performance Loop Analysis</w:t>
      </w:r>
    </w:p>
    <w:p>
      <w:pPr>
        <w:ind w:left="288" w:hanging="288"/>
      </w:pPr>
      <w:r>
        <w:t>- Exercise 2: Perfmon Infrastructure Analysis</w:t>
      </w:r>
    </w:p>
    <w:p>
      <w:pPr>
        <w:ind w:left="288" w:hanging="288"/>
      </w:pPr>
      <w:r>
        <w:t>- Exercise 3: FillDB Performance Analysis</w:t>
      </w:r>
    </w:p>
    <w:p>
      <w:pPr>
        <w:ind w:left="288" w:hanging="288"/>
      </w:pPr>
      <w:r>
        <w:t>- Reading the Mini Report</w:t>
      </w:r>
    </w:p>
    <w:p>
      <w:pPr>
        <w:ind w:left="288" w:hanging="288"/>
      </w:pPr>
      <w:r>
        <w:t>- Troubleshooting and completion checklist</w:t>
      </w:r>
    </w:p>
    <w:p>
      <w:pPr>
        <w:pStyle w:val="Heading1"/>
      </w:pPr>
      <w:r>
        <w:rPr>
          <w:b w:val="0"/>
          <w:i w:val="0"/>
        </w:rPr>
        <w:t>Overview</w:t>
      </w:r>
    </w:p>
    <w:p>
      <w:r>
        <w:rPr>
          <w:b w:val="0"/>
          <w:i w:val="0"/>
        </w:rPr>
        <w:t>This lab introduces the BigFix Master Class Diagnostics Workbench. You will collect operational data from a BigFix deployment, run one module at a time, and review the resulting Mini Report.</w:t>
      </w:r>
    </w:p>
    <w:p>
      <w:pPr>
        <w:pStyle w:val="Heading2"/>
      </w:pPr>
      <w:r>
        <w:rPr>
          <w:b w:val="0"/>
          <w:i w:val="0"/>
        </w:rPr>
        <w:t>Learning objectives</w:t>
      </w:r>
    </w:p>
    <w:p>
      <w:pPr>
        <w:ind w:left="288" w:hanging="288"/>
      </w:pPr>
      <w:r>
        <w:t>- Connect a BigFix collection task to the data required by a Workbench module.</w:t>
      </w:r>
    </w:p>
    <w:p>
      <w:pPr>
        <w:ind w:left="288" w:hanging="288"/>
      </w:pPr>
      <w:r>
        <w:t>- Run the Agent Performance and Perfmon exercises independently.</w:t>
      </w:r>
    </w:p>
    <w:p>
      <w:pPr>
        <w:ind w:left="288" w:hanging="288"/>
      </w:pPr>
      <w:r>
        <w:t>- Use the optional FillDB exercise when the session schedule allows.</w:t>
      </w:r>
    </w:p>
    <w:p>
      <w:pPr>
        <w:ind w:left="288" w:hanging="288"/>
      </w:pPr>
      <w:r>
        <w:t>- Recognize the main evidence and measurements presented in a Mini Report.</w:t>
      </w:r>
    </w:p>
    <w:p>
      <w:pPr>
        <w:pStyle w:val="Heading2"/>
      </w:pPr>
      <w:r>
        <w:rPr>
          <w:b w:val="0"/>
          <w:i w:val="0"/>
        </w:rPr>
        <w:t>Before you begin</w:t>
      </w:r>
    </w:p>
    <w:p>
      <w:pPr>
        <w:ind w:left="288" w:hanging="288"/>
      </w:pPr>
      <w:r>
        <w:t>- Access to the lab BigFix console and the custom site Performance and Config Analysis.</w:t>
      </w:r>
    </w:p>
    <w:p>
      <w:pPr>
        <w:ind w:left="288" w:hanging="288"/>
      </w:pPr>
      <w:r>
        <w:t>- An instructor-provided BigFix account for actions that require operator permissions.</w:t>
      </w:r>
    </w:p>
    <w:p>
      <w:pPr>
        <w:ind w:left="288" w:hanging="288"/>
      </w:pPr>
      <w:r>
        <w:t>- The Diagnostics Workbench project folder and a writable output folder.</w:t>
      </w:r>
    </w:p>
    <w:p>
      <w:pPr>
        <w:ind w:left="288" w:hanging="288"/>
      </w:pPr>
      <w:r>
        <w:t>- A Windows 10 or 11 workstation with Python 3.12 or newer, Microsoft Edge or Google Chrome, and Microsoft Word and Excel.</w:t>
      </w:r>
    </w:p>
    <w:p>
      <w:pPr>
        <w:ind w:left="288" w:hanging="288"/>
      </w:pPr>
      <w:r>
        <w:t>- A folder for collected data. Use the instructor-provided sanitized capture when live collection takes longer than the class session.</w:t>
      </w:r>
    </w:p>
    <w:tbl>
      <w:tblPr>
        <w:tblStyle w:val="TableGrid"/>
        <w:tblW w:type="auto" w:w="0"/>
        <w:jc w:val="center"/>
        <w:tblLook w:firstColumn="1" w:firstRow="1" w:lastColumn="0" w:lastRow="0" w:noHBand="0" w:noVBand="1" w:val="04A0"/>
      </w:tblPr>
      <w:tblGrid>
        <w:gridCol w:w="10080"/>
      </w:tblGrid>
      <w:tr>
        <w:tc>
          <w:tcPr>
            <w:tcW w:type="dxa" w:w="10080"/>
            <w:shd w:fill="FCF6EA"/>
          </w:tcPr>
          <w:p>
            <w:pPr>
              <w:spacing w:after="0"/>
            </w:pPr>
            <w:r/>
            <w:r>
              <w:rPr>
                <w:b/>
              </w:rPr>
              <w:t xml:space="preserve">Application note: </w:t>
            </w:r>
            <w:r>
              <w:t>Word and Excel are the preferred and tested applications for Mini Reports and supporting workbooks. LibreOffice or another compatible application may work, but it has not been fully vetted.</w:t>
            </w:r>
          </w:p>
        </w:tc>
      </w:tr>
    </w:tbl>
    <w:p/>
    <w:p>
      <w:pPr>
        <w:pStyle w:val="Heading2"/>
      </w:pPr>
      <w:r>
        <w:rPr>
          <w:b w:val="0"/>
          <w:i w:val="0"/>
        </w:rPr>
        <w:t>Class scope</w:t>
      </w:r>
    </w:p>
    <w:p>
      <w:r>
        <w:rPr>
          <w:b w:val="0"/>
          <w:i w:val="0"/>
        </w:rPr>
        <w:t>The three modules are run individually. The planned core path is Agent Performance followed by Perfmon. FillDB is an optional third exercise. The class uses Mini Reports and does not use a scoring workbook or full-report mode.</w:t>
      </w:r>
    </w:p>
    <w:p>
      <w:r>
        <w:br w:type="page"/>
      </w:r>
    </w:p>
    <w:p>
      <w:pPr>
        <w:pStyle w:val="Heading1"/>
      </w:pPr>
      <w:r>
        <w:rPr>
          <w:b w:val="0"/>
          <w:i w:val="0"/>
        </w:rPr>
        <w:t>Shared Collection Workflow</w:t>
      </w:r>
    </w:p>
    <w:p>
      <w:r>
        <w:rPr>
          <w:b w:val="0"/>
          <w:i w:val="0"/>
        </w:rPr>
        <w:t>The collection tasks are in the Performance and Config Analysis site. Each exercise follows the same pattern: prepare the required analysis or service, run the collection task, retrieve the resulting files, and run the matching Workbench module.</w:t>
      </w:r>
    </w:p>
    <w:tbl>
      <w:tblPr>
        <w:tblStyle w:val="TableGrid"/>
        <w:tblW w:type="auto" w:w="0"/>
        <w:jc w:val="center"/>
        <w:tblLook w:firstColumn="1" w:firstRow="1" w:lastColumn="0" w:lastRow="0" w:noHBand="0" w:noVBand="1" w:val="04A0"/>
      </w:tblPr>
      <w:tblGrid>
        <w:gridCol w:w="3360"/>
        <w:gridCol w:w="3360"/>
        <w:gridCol w:w="3360"/>
      </w:tblGrid>
      <w:tr>
        <w:tc>
          <w:tcPr>
            <w:tcW w:type="dxa" w:w="1944"/>
            <w:vAlign w:val="center"/>
            <w:shd w:fill="17707F"/>
          </w:tcPr>
          <w:p>
            <w:pPr>
              <w:spacing w:after="40"/>
            </w:pPr>
            <w:r/>
            <w:r>
              <w:rPr>
                <w:b/>
                <w:color w:val="FFFFFF"/>
              </w:rPr>
              <w:t>Module</w:t>
            </w:r>
          </w:p>
        </w:tc>
        <w:tc>
          <w:tcPr>
            <w:tcW w:type="dxa" w:w="4680"/>
            <w:vAlign w:val="center"/>
            <w:shd w:fill="17707F"/>
          </w:tcPr>
          <w:p>
            <w:pPr>
              <w:spacing w:after="40"/>
            </w:pPr>
            <w:r/>
            <w:r>
              <w:rPr>
                <w:b/>
                <w:color w:val="FFFFFF"/>
              </w:rPr>
              <w:t>BigFix content</w:t>
            </w:r>
          </w:p>
        </w:tc>
        <w:tc>
          <w:tcPr>
            <w:tcW w:type="dxa" w:w="3600"/>
            <w:vAlign w:val="center"/>
            <w:shd w:fill="17707F"/>
          </w:tcPr>
          <w:p>
            <w:pPr>
              <w:spacing w:after="40"/>
            </w:pPr>
            <w:r/>
            <w:r>
              <w:rPr>
                <w:b/>
                <w:color w:val="FFFFFF"/>
              </w:rPr>
              <w:t>Data to retrieve</w:t>
            </w:r>
          </w:p>
        </w:tc>
      </w:tr>
      <w:tr>
        <w:tc>
          <w:tcPr>
            <w:tcW w:type="dxa" w:w="1944"/>
            <w:vAlign w:val="center"/>
            <w:shd w:fill="F3F8F9"/>
          </w:tcPr>
          <w:p>
            <w:pPr>
              <w:spacing w:after="40"/>
            </w:pPr>
            <w:r/>
            <w:r>
              <w:rPr>
                <w:b w:val="0"/>
              </w:rPr>
              <w:t>Agent Performance</w:t>
            </w:r>
          </w:p>
        </w:tc>
        <w:tc>
          <w:tcPr>
            <w:tcW w:type="dxa" w:w="4680"/>
            <w:vAlign w:val="center"/>
            <w:shd w:fill="F3F8F9"/>
          </w:tcPr>
          <w:p>
            <w:pPr>
              <w:spacing w:after="40"/>
            </w:pPr>
            <w:r/>
            <w:r>
              <w:rPr>
                <w:b w:val="0"/>
              </w:rPr>
              <w:t>BigFix Master Class -- Agent Performance Counters - Basic (2.0)</w:t>
              <w:br/>
              <w:t>BigFix Master Class -- Collect Agent Performance Counter Analysis Data (2.0)</w:t>
            </w:r>
          </w:p>
        </w:tc>
        <w:tc>
          <w:tcPr>
            <w:tcW w:type="dxa" w:w="3600"/>
            <w:vAlign w:val="center"/>
            <w:shd w:fill="F3F8F9"/>
          </w:tcPr>
          <w:p>
            <w:pPr>
              <w:spacing w:after="40"/>
            </w:pPr>
            <w:r/>
            <w:r>
              <w:rPr>
                <w:b w:val="0"/>
              </w:rPr>
              <w:t>Client_Loop XML or CSV; optional Top 10, UDP, and deployment captures</w:t>
            </w:r>
          </w:p>
        </w:tc>
      </w:tr>
      <w:tr>
        <w:tc>
          <w:tcPr>
            <w:tcW w:type="dxa" w:w="1944"/>
            <w:vAlign w:val="center"/>
          </w:tcPr>
          <w:p>
            <w:pPr>
              <w:spacing w:after="40"/>
            </w:pPr>
            <w:r/>
            <w:r>
              <w:rPr>
                <w:b w:val="0"/>
              </w:rPr>
              <w:t>Perfmon</w:t>
            </w:r>
          </w:p>
        </w:tc>
        <w:tc>
          <w:tcPr>
            <w:tcW w:type="dxa" w:w="4680"/>
            <w:vAlign w:val="center"/>
          </w:tcPr>
          <w:p>
            <w:pPr>
              <w:spacing w:after="40"/>
            </w:pPr>
            <w:r/>
            <w:r>
              <w:rPr>
                <w:b w:val="0"/>
              </w:rPr>
              <w:t>BigFix Master Class -- Setup and Run Perfmon Counters (2.0)</w:t>
            </w:r>
          </w:p>
        </w:tc>
        <w:tc>
          <w:tcPr>
            <w:tcW w:type="dxa" w:w="3600"/>
            <w:vAlign w:val="center"/>
          </w:tcPr>
          <w:p>
            <w:pPr>
              <w:spacing w:after="40"/>
            </w:pPr>
            <w:r/>
            <w:r>
              <w:rPr>
                <w:b w:val="0"/>
              </w:rPr>
              <w:t>Perfmon .blg file from every targeted machine</w:t>
            </w:r>
          </w:p>
        </w:tc>
      </w:tr>
      <w:tr>
        <w:tc>
          <w:tcPr>
            <w:tcW w:type="dxa" w:w="1944"/>
            <w:vAlign w:val="center"/>
            <w:shd w:fill="F3F8F9"/>
          </w:tcPr>
          <w:p>
            <w:pPr>
              <w:spacing w:after="40"/>
            </w:pPr>
            <w:r/>
            <w:r>
              <w:rPr>
                <w:b w:val="0"/>
              </w:rPr>
              <w:t>FillDB</w:t>
            </w:r>
          </w:p>
        </w:tc>
        <w:tc>
          <w:tcPr>
            <w:tcW w:type="dxa" w:w="4680"/>
            <w:vAlign w:val="center"/>
            <w:shd w:fill="F3F8F9"/>
          </w:tcPr>
          <w:p>
            <w:pPr>
              <w:spacing w:after="40"/>
            </w:pPr>
            <w:r/>
            <w:r>
              <w:rPr>
                <w:b w:val="0"/>
              </w:rPr>
              <w:t>BigFix Master Class -- Enable FillDB Performance Logging (2.0)</w:t>
            </w:r>
          </w:p>
        </w:tc>
        <w:tc>
          <w:tcPr>
            <w:tcW w:type="dxa" w:w="3600"/>
            <w:vAlign w:val="center"/>
            <w:shd w:fill="F3F8F9"/>
          </w:tcPr>
          <w:p>
            <w:pPr>
              <w:spacing w:after="40"/>
            </w:pPr>
            <w:r/>
            <w:r>
              <w:rPr>
                <w:b w:val="0"/>
              </w:rPr>
              <w:t>FillDB performance log and rollover files after logging is disabled</w:t>
            </w:r>
          </w:p>
        </w:tc>
      </w:tr>
    </w:tbl>
    <w:p/>
    <w:p>
      <w:pPr>
        <w:pStyle w:val="Heading2"/>
      </w:pPr>
      <w:r>
        <w:rPr>
          <w:b w:val="0"/>
          <w:i w:val="0"/>
        </w:rPr>
        <w:t>Workbench folder layout</w:t>
      </w:r>
    </w:p>
    <w:p>
      <w:r>
        <w:rPr>
          <w:b w:val="0"/>
          <w:i w:val="0"/>
        </w:rPr>
        <w:t>Put the files for one deployment under one data folder:</w:t>
      </w:r>
    </w:p>
    <w:p>
      <w:r>
        <w:rPr>
          <w:b w:val="0"/>
          <w:i w:val="0"/>
        </w:rPr>
        <w:t>&lt;Data Folder&gt;\</w:t>
        <w:br/>
        <w:t xml:space="preserve">    Client_Loop\              Agent Performance export and optional captures</w:t>
        <w:br/>
        <w:t xml:space="preserve">    Deployment_Information\   Optional root-server information captures</w:t>
        <w:br/>
        <w:t xml:space="preserve">    Perfmon\                  One or two Perfmon .blg captures</w:t>
        <w:br/>
        <w:t xml:space="preserve">    FillDB_Performance\       FillDB logs or analyzer CSV</w:t>
      </w:r>
    </w:p>
    <w:tbl>
      <w:tblPr>
        <w:tblStyle w:val="TableGrid"/>
        <w:tblW w:type="auto" w:w="0"/>
        <w:jc w:val="center"/>
        <w:tblLook w:firstColumn="1" w:firstRow="1" w:lastColumn="0" w:lastRow="0" w:noHBand="0" w:noVBand="1" w:val="04A0"/>
      </w:tblPr>
      <w:tblGrid>
        <w:gridCol w:w="10080"/>
      </w:tblGrid>
      <w:tr>
        <w:tc>
          <w:tcPr>
            <w:tcW w:type="dxa" w:w="10080"/>
            <w:shd w:fill="FDECEC"/>
          </w:tcPr>
          <w:p>
            <w:pPr>
              <w:spacing w:after="0"/>
            </w:pPr>
            <w:r/>
            <w:r>
              <w:rPr>
                <w:b/>
              </w:rPr>
              <w:t xml:space="preserve">Important: </w:t>
            </w:r>
            <w:r>
              <w:t>Perfmon logs are large and are retrieved directly from the target machines. They are not normal upload content. Keep the source files together until the matching module has finished.</w:t>
            </w:r>
          </w:p>
        </w:tc>
      </w:tr>
    </w:tbl>
    <w:p/>
    <w:p>
      <w:r>
        <w:br w:type="page"/>
      </w:r>
    </w:p>
    <w:p>
      <w:pPr>
        <w:pStyle w:val="Heading1"/>
      </w:pPr>
      <w:r>
        <w:rPr>
          <w:b w:val="0"/>
          <w:i w:val="0"/>
        </w:rPr>
        <w:t>Exercise 1: Client Performance Loop Analysis</w:t>
      </w:r>
    </w:p>
    <w:p>
      <w:pPr>
        <w:pStyle w:val="Heading2"/>
      </w:pPr>
      <w:r>
        <w:rPr>
          <w:b w:val="0"/>
          <w:i w:val="0"/>
        </w:rPr>
        <w:t>Goal</w:t>
      </w:r>
    </w:p>
    <w:p>
      <w:r>
        <w:rPr>
          <w:b w:val="0"/>
          <w:i w:val="0"/>
        </w:rPr>
        <w:t>Collect client evaluation-loop data and use the Workbench to review evaluation time, expensive evaluations, command polling, UDP coverage, and FastHashVerify settings.</w:t>
      </w:r>
    </w:p>
    <w:p>
      <w:pPr>
        <w:pStyle w:val="Heading2"/>
      </w:pPr>
      <w:r>
        <w:rPr>
          <w:b w:val="0"/>
          <w:i w:val="0"/>
        </w:rPr>
        <w:t>BigFix collection</w:t>
      </w:r>
    </w:p>
    <w:p>
      <w:pPr>
        <w:ind w:left="288" w:hanging="288"/>
      </w:pPr>
      <w:r>
        <w:t>1. In the BigFix console, open the Performance and Config Analysis site.</w:t>
      </w:r>
    </w:p>
    <w:p>
      <w:pPr>
        <w:ind w:left="288" w:hanging="288"/>
      </w:pPr>
      <w:r>
        <w:t>2. Activate BigFix Master Class -- Agent Performance Counters - Basic (2.0). If it is already active and reporting, continue.</w:t>
      </w:r>
    </w:p>
    <w:p>
      <w:pPr>
        <w:ind w:left="288" w:hanging="288"/>
      </w:pPr>
      <w:r>
        <w:t>3. Run BigFix Master Class -- Collect Agent Performance Counter Analysis Data (2.0) against the root server.</w:t>
      </w:r>
    </w:p>
    <w:p>
      <w:pPr>
        <w:ind w:left="288" w:hanging="288"/>
      </w:pPr>
      <w:r>
        <w:t>4. Use the instructor-provided account when the task requests API credentials. Do not place credentials in the lab guide or collected files.</w:t>
      </w:r>
    </w:p>
    <w:p>
      <w:pPr>
        <w:ind w:left="288" w:hanging="288"/>
      </w:pPr>
      <w:r>
        <w:t>5. Wait for the action to complete and retrieve the generated Client_Loop XML or CSV. Retrieve the optional Top 10, UDP, and Deployment_Information captures when they are available.</w:t>
      </w:r>
    </w:p>
    <w:tbl>
      <w:tblPr>
        <w:tblStyle w:val="TableGrid"/>
        <w:tblW w:type="auto" w:w="0"/>
        <w:jc w:val="center"/>
        <w:tblLook w:firstColumn="1" w:firstRow="1" w:lastColumn="0" w:lastRow="0" w:noHBand="0" w:noVBand="1" w:val="04A0"/>
      </w:tblPr>
      <w:tblGrid>
        <w:gridCol w:w="10080"/>
      </w:tblGrid>
      <w:tr>
        <w:tc>
          <w:tcPr>
            <w:tcW w:type="dxa" w:w="10080"/>
            <w:shd w:fill="EAF4F5"/>
          </w:tcPr>
          <w:p>
            <w:pPr>
              <w:spacing w:after="0"/>
            </w:pPr>
            <w:r/>
            <w:r>
              <w:rPr>
                <w:b/>
              </w:rPr>
              <w:t xml:space="preserve">Expected evidence: </w:t>
            </w:r>
            <w:r>
              <w:t>The primary file is named Client_Loop_&lt;date&gt;_&lt;time&gt;.xml or .csv. The task may also produce Top10, UDP_Notifications, query output, and deployment-information files in the same collection area.</w:t>
            </w:r>
          </w:p>
        </w:tc>
      </w:tr>
    </w:tbl>
    <w:p/>
    <w:p>
      <w:pPr>
        <w:pStyle w:val="Heading2"/>
      </w:pPr>
      <w:r>
        <w:rPr>
          <w:b w:val="0"/>
          <w:i w:val="0"/>
        </w:rPr>
        <w:t>Run the Workbench</w:t>
      </w:r>
    </w:p>
    <w:p>
      <w:pPr>
        <w:ind w:left="288" w:hanging="288"/>
      </w:pPr>
      <w:r>
        <w:t>1. Open Launchers and run Run Diagnostics Workbench.cmd.</w:t>
      </w:r>
    </w:p>
    <w:p>
      <w:pPr>
        <w:ind w:left="288" w:hanging="288"/>
      </w:pPr>
      <w:r>
        <w:t>2. Set Data Folder to the folder containing Client_Loop and any optional capture folders.</w:t>
      </w:r>
    </w:p>
    <w:p>
      <w:pPr>
        <w:ind w:left="288" w:hanging="288"/>
      </w:pPr>
      <w:r>
        <w:t>3. Set Output Folder and enter a Run Name that identifies the lab run.</w:t>
      </w:r>
    </w:p>
    <w:p>
      <w:pPr>
        <w:ind w:left="288" w:hanging="288"/>
      </w:pPr>
      <w:r>
        <w:t>4. Select Client Performance Loop Analysis only. Open Details and confirm the selected loop export.</w:t>
      </w:r>
    </w:p>
    <w:p>
      <w:pPr>
        <w:ind w:left="288" w:hanging="288"/>
      </w:pPr>
      <w:r>
        <w:t>5. Enter the Report Start Date and Report End Date for the collection period.</w:t>
      </w:r>
    </w:p>
    <w:p>
      <w:pPr>
        <w:ind w:left="288" w:hanging="288"/>
      </w:pPr>
      <w:r>
        <w:t>6. Build the module and open the Mini Report when the module status is Done.</w:t>
      </w:r>
    </w:p>
    <w:p>
      <w:pPr>
        <w:pStyle w:val="Heading2"/>
      </w:pPr>
      <w:r>
        <w:rPr>
          <w:b w:val="0"/>
          <w:i w:val="0"/>
        </w:rPr>
        <w:t>Review the result</w:t>
      </w:r>
    </w:p>
    <w:p>
      <w:pPr>
        <w:ind w:left="288" w:hanging="288"/>
      </w:pPr>
      <w:r>
        <w:t>- Compare maximum and average evaluation-cycle time.</w:t>
      </w:r>
    </w:p>
    <w:p>
      <w:pPr>
        <w:ind w:left="288" w:hanging="288"/>
      </w:pPr>
      <w:r>
        <w:t>- Review the Top 10 evaluation table when the optional capture was collected.</w:t>
      </w:r>
    </w:p>
    <w:p>
      <w:pPr>
        <w:ind w:left="288" w:hanging="288"/>
      </w:pPr>
      <w:r>
        <w:t>- Review command polling and UDP coverage when the optional UDP capture was collected.</w:t>
      </w:r>
    </w:p>
    <w:p>
      <w:pPr>
        <w:ind w:left="288" w:hanging="288"/>
      </w:pPr>
      <w:r>
        <w:t>- Review FastHashVerify enabled, work, and sleep values. These settings are useful context when large patch or software-update files are common.</w:t>
      </w:r>
    </w:p>
    <w:p>
      <w:pPr>
        <w:ind w:left="288" w:hanging="288"/>
      </w:pPr>
      <w:r>
        <w:t>- Record one observation from the Mini Report that you would investigate next.</w:t>
      </w:r>
    </w:p>
    <w:p>
      <w:r>
        <w:br w:type="page"/>
      </w:r>
    </w:p>
    <w:p>
      <w:pPr>
        <w:pStyle w:val="Heading1"/>
      </w:pPr>
      <w:r>
        <w:rPr>
          <w:b w:val="0"/>
          <w:i w:val="0"/>
        </w:rPr>
        <w:t>Exercise 2: Perfmon Infrastructure Analysis</w:t>
      </w:r>
    </w:p>
    <w:p>
      <w:pPr>
        <w:pStyle w:val="Heading2"/>
      </w:pPr>
      <w:r>
        <w:rPr>
          <w:b w:val="0"/>
          <w:i w:val="0"/>
        </w:rPr>
        <w:t>Goal</w:t>
      </w:r>
    </w:p>
    <w:p>
      <w:r>
        <w:rPr>
          <w:b w:val="0"/>
          <w:i w:val="0"/>
        </w:rPr>
        <w:t>Capture Windows performance counters from the BigFix role servers in scope and use the Workbench to review processor, memory, disk, network, and related infrastructure behavior.</w:t>
      </w:r>
    </w:p>
    <w:p>
      <w:pPr>
        <w:pStyle w:val="Heading2"/>
      </w:pPr>
      <w:r>
        <w:rPr>
          <w:b w:val="0"/>
          <w:i w:val="0"/>
        </w:rPr>
        <w:t>BigFix collection</w:t>
      </w:r>
    </w:p>
    <w:p>
      <w:pPr>
        <w:ind w:left="288" w:hanging="288"/>
      </w:pPr>
      <w:r>
        <w:t>1. In the BigFix console, open the Performance and Config Analysis site.</w:t>
      </w:r>
    </w:p>
    <w:p>
      <w:pPr>
        <w:ind w:left="288" w:hanging="288"/>
      </w:pPr>
      <w:r>
        <w:t>2. Run BigFix Master Class -- Setup and Run Perfmon Counters (2.0) separately against each Windows role server in scope. Include SQL when the instructor has selected the SQL server for the exercise.</w:t>
      </w:r>
    </w:p>
    <w:p>
      <w:pPr>
        <w:ind w:left="288" w:hanging="288"/>
      </w:pPr>
      <w:r>
        <w:t>3. Allow the counter set to run for the collection window. The task starts the BFPerf counter set and writes a README beside the results.</w:t>
      </w:r>
    </w:p>
    <w:p>
      <w:pPr>
        <w:ind w:left="288" w:hanging="288"/>
      </w:pPr>
      <w:r>
        <w:t>4. When the capture is complete, stop BFPerf using the command in the generated README, or use the approved disable procedure for the lab environment.</w:t>
      </w:r>
    </w:p>
    <w:p>
      <w:pPr>
        <w:ind w:left="288" w:hanging="288"/>
      </w:pPr>
      <w:r>
        <w:t>5. Retrieve the .blg file directly from every targeted machine. Keep the files separate and identify each server clearly.</w:t>
      </w:r>
    </w:p>
    <w:tbl>
      <w:tblPr>
        <w:tblStyle w:val="TableGrid"/>
        <w:tblW w:type="auto" w:w="0"/>
        <w:jc w:val="center"/>
        <w:tblLook w:firstColumn="1" w:firstRow="1" w:lastColumn="0" w:lastRow="0" w:noHBand="0" w:noVBand="1" w:val="04A0"/>
      </w:tblPr>
      <w:tblGrid>
        <w:gridCol w:w="10080"/>
      </w:tblGrid>
      <w:tr>
        <w:tc>
          <w:tcPr>
            <w:tcW w:type="dxa" w:w="10080"/>
            <w:shd w:fill="FCF6EA"/>
          </w:tcPr>
          <w:p>
            <w:pPr>
              <w:spacing w:after="0"/>
            </w:pPr>
            <w:r/>
            <w:r>
              <w:rPr>
                <w:b/>
              </w:rPr>
              <w:t xml:space="preserve">Expected evidence: </w:t>
            </w:r>
            <w:r>
              <w:t>Perfmon logs are expected to be 256 MB or larger. The task does not upload them. The instructor or student is responsible for retrieving the logs from the target machines.</w:t>
            </w:r>
          </w:p>
        </w:tc>
      </w:tr>
    </w:tbl>
    <w:p/>
    <w:p>
      <w:pPr>
        <w:pStyle w:val="Heading2"/>
      </w:pPr>
      <w:r>
        <w:rPr>
          <w:b w:val="0"/>
          <w:i w:val="0"/>
        </w:rPr>
        <w:t>Run the Workbench</w:t>
      </w:r>
    </w:p>
    <w:p>
      <w:pPr>
        <w:ind w:left="288" w:hanging="288"/>
      </w:pPr>
      <w:r>
        <w:t>1. Place one or two .blg files under the Perfmon folder in the data folder.</w:t>
      </w:r>
    </w:p>
    <w:p>
      <w:pPr>
        <w:ind w:left="288" w:hanging="288"/>
      </w:pPr>
      <w:r>
        <w:t>2. Open the Workbench and select Perfmon Infrastructure Analysis only.</w:t>
      </w:r>
    </w:p>
    <w:p>
      <w:pPr>
        <w:ind w:left="288" w:hanging="288"/>
      </w:pPr>
      <w:r>
        <w:t>3. Open Details and confirm the primary capture. Add a second capture when a comparison is part of the exercise.</w:t>
      </w:r>
    </w:p>
    <w:p>
      <w:pPr>
        <w:ind w:left="288" w:hanging="288"/>
      </w:pPr>
      <w:r>
        <w:t>4. Enter physical memory and virtual-machine status when requested. Review the detected processor and disk values.</w:t>
      </w:r>
    </w:p>
    <w:p>
      <w:pPr>
        <w:ind w:left="288" w:hanging="288"/>
      </w:pPr>
      <w:r>
        <w:t>5. Build the module and open the Mini Report and charts after processing completes.</w:t>
      </w:r>
    </w:p>
    <w:p>
      <w:pPr>
        <w:pStyle w:val="Heading2"/>
      </w:pPr>
      <w:r>
        <w:rPr>
          <w:b w:val="0"/>
          <w:i w:val="0"/>
        </w:rPr>
        <w:t>Review the result</w:t>
      </w:r>
    </w:p>
    <w:p>
      <w:pPr>
        <w:ind w:left="288" w:hanging="288"/>
      </w:pPr>
      <w:r>
        <w:t>- Review the overall infrastructure result and the supporting counter observations.</w:t>
      </w:r>
    </w:p>
    <w:p>
      <w:pPr>
        <w:ind w:left="288" w:hanging="288"/>
      </w:pPr>
      <w:r>
        <w:t>- Identify one resource pattern that deserves a closer look.</w:t>
      </w:r>
    </w:p>
    <w:p>
      <w:pPr>
        <w:ind w:left="288" w:hanging="288"/>
      </w:pPr>
      <w:r>
        <w:t>- Compare two captures when a second server or before-and-after capture is available.</w:t>
      </w:r>
    </w:p>
    <w:p>
      <w:r>
        <w:br w:type="page"/>
      </w:r>
    </w:p>
    <w:p>
      <w:pPr>
        <w:pStyle w:val="Heading1"/>
      </w:pPr>
      <w:r>
        <w:rPr>
          <w:b w:val="0"/>
          <w:i w:val="0"/>
        </w:rPr>
        <w:t>Exercise 3: FillDB Performance Analysis</w:t>
      </w:r>
    </w:p>
    <w:p>
      <w:pPr>
        <w:pStyle w:val="Heading2"/>
      </w:pPr>
      <w:r>
        <w:rPr>
          <w:b w:val="0"/>
          <w:i w:val="0"/>
        </w:rPr>
        <w:t>Goal</w:t>
      </w:r>
    </w:p>
    <w:p>
      <w:r>
        <w:rPr>
          <w:b w:val="0"/>
          <w:i w:val="0"/>
        </w:rPr>
        <w:t>Collect FillDB performance logging from the root server and use the Workbench to review how quickly client reports are processed.</w:t>
      </w:r>
    </w:p>
    <w:p>
      <w:pPr>
        <w:pStyle w:val="Heading2"/>
      </w:pPr>
      <w:r>
        <w:rPr>
          <w:b w:val="0"/>
          <w:i w:val="0"/>
        </w:rPr>
        <w:t>BigFix collection</w:t>
      </w:r>
    </w:p>
    <w:p>
      <w:pPr>
        <w:ind w:left="288" w:hanging="288"/>
      </w:pPr>
      <w:r>
        <w:t>1. In the BigFix console, open the Performance and Config Analysis site.</w:t>
      </w:r>
    </w:p>
    <w:p>
      <w:pPr>
        <w:ind w:left="288" w:hanging="288"/>
      </w:pPr>
      <w:r>
        <w:t>2. Run BigFix Master Class -- Enable FillDB Performance Logging (2.0) against the root server.</w:t>
      </w:r>
    </w:p>
    <w:p>
      <w:pPr>
        <w:ind w:left="288" w:hanging="288"/>
      </w:pPr>
      <w:r>
        <w:t>3. Use the default automatic-disable window unless the instructor specifies another duration. The task generates a companion disable action when automatic disabling is selected.</w:t>
      </w:r>
    </w:p>
    <w:p>
      <w:pPr>
        <w:ind w:left="288" w:hanging="288"/>
      </w:pPr>
      <w:r>
        <w:t>4. After the collection window, wait for logging to be disabled and retrieve FillDBPerf.log plus any rollover files from the root server.</w:t>
      </w:r>
    </w:p>
    <w:p>
      <w:pPr>
        <w:ind w:left="288" w:hanging="288"/>
      </w:pPr>
      <w:r>
        <w:t>5. If automatic disabling was not selected, use the companion warning or approved disable procedure before retrieving the log set.</w:t>
      </w:r>
    </w:p>
    <w:tbl>
      <w:tblPr>
        <w:tblStyle w:val="TableGrid"/>
        <w:tblW w:type="auto" w:w="0"/>
        <w:jc w:val="center"/>
        <w:tblLook w:firstColumn="1" w:firstRow="1" w:lastColumn="0" w:lastRow="0" w:noHBand="0" w:noVBand="1" w:val="04A0"/>
      </w:tblPr>
      <w:tblGrid>
        <w:gridCol w:w="10080"/>
      </w:tblGrid>
      <w:tr>
        <w:tc>
          <w:tcPr>
            <w:tcW w:type="dxa" w:w="10080"/>
            <w:shd w:fill="FDECEC"/>
          </w:tcPr>
          <w:p>
            <w:pPr>
              <w:spacing w:after="0"/>
            </w:pPr>
            <w:r/>
            <w:r>
              <w:rPr>
                <w:b/>
              </w:rPr>
              <w:t xml:space="preserve">Do not skip this step: </w:t>
            </w:r>
            <w:r>
              <w:t>The log set must be complete and no longer active before analysis. Keep the original log and rollover files together in FillDB_Performance.</w:t>
            </w:r>
          </w:p>
        </w:tc>
      </w:tr>
    </w:tbl>
    <w:p/>
    <w:p>
      <w:pPr>
        <w:pStyle w:val="Heading2"/>
      </w:pPr>
      <w:r>
        <w:rPr>
          <w:b w:val="0"/>
          <w:i w:val="0"/>
        </w:rPr>
        <w:t>Run the Workbench</w:t>
      </w:r>
    </w:p>
    <w:p>
      <w:pPr>
        <w:ind w:left="288" w:hanging="288"/>
      </w:pPr>
      <w:r>
        <w:t>1. Place the FillDB logs, or the provided analyzer CSV, under FillDB_Performance.</w:t>
      </w:r>
    </w:p>
    <w:p>
      <w:pPr>
        <w:ind w:left="288" w:hanging="288"/>
      </w:pPr>
      <w:r>
        <w:t>2. Open the Workbench and select FillDB Performance Analysis only.</w:t>
      </w:r>
    </w:p>
    <w:p>
      <w:pPr>
        <w:ind w:left="288" w:hanging="288"/>
      </w:pPr>
      <w:r>
        <w:t>3. Confirm the collection dates when the module requests them. The log span is used when dates are left at their defaults.</w:t>
      </w:r>
    </w:p>
    <w:p>
      <w:pPr>
        <w:ind w:left="288" w:hanging="288"/>
      </w:pPr>
      <w:r>
        <w:t>4. Build the module and open the Mini Report and Infographic.</w:t>
      </w:r>
    </w:p>
    <w:p>
      <w:pPr>
        <w:pStyle w:val="Heading2"/>
      </w:pPr>
      <w:r>
        <w:rPr>
          <w:b w:val="0"/>
          <w:i w:val="0"/>
        </w:rPr>
        <w:t>Review the result</w:t>
      </w:r>
    </w:p>
    <w:p>
      <w:pPr>
        <w:ind w:left="288" w:hanging="288"/>
      </w:pPr>
      <w:r>
        <w:t>- Review the processing-time summary and any periods that stand out.</w:t>
      </w:r>
    </w:p>
    <w:p>
      <w:pPr>
        <w:ind w:left="288" w:hanging="288"/>
      </w:pPr>
      <w:r>
        <w:t>- Connect the result to the collection window and the deployment activity taking place at that time.</w:t>
      </w:r>
    </w:p>
    <w:p>
      <w:r>
        <w:br w:type="page"/>
      </w:r>
    </w:p>
    <w:p>
      <w:pPr>
        <w:pStyle w:val="Heading1"/>
      </w:pPr>
      <w:r>
        <w:rPr>
          <w:b w:val="0"/>
          <w:i w:val="0"/>
        </w:rPr>
        <w:t>Reading the Mini Report</w:t>
      </w:r>
    </w:p>
    <w:p>
      <w:r>
        <w:rPr>
          <w:b w:val="0"/>
          <w:i w:val="0"/>
        </w:rPr>
        <w:t>Each Mini Report is the narrative result for one module. Start with the summary, then use the supporting tables and charts to understand the evidence behind the result.</w:t>
      </w:r>
    </w:p>
    <w:p>
      <w:pPr>
        <w:ind w:left="288" w:hanging="288"/>
      </w:pPr>
      <w:r>
        <w:t>- Confirm the report identifies the intended run and data window.</w:t>
      </w:r>
    </w:p>
    <w:p>
      <w:pPr>
        <w:ind w:left="288" w:hanging="288"/>
      </w:pPr>
      <w:r>
        <w:t>- Read the score or status in context with the supporting measurements.</w:t>
      </w:r>
    </w:p>
    <w:p>
      <w:pPr>
        <w:ind w:left="288" w:hanging="288"/>
      </w:pPr>
      <w:r>
        <w:t>- Use the detailed tables to trace an observation back to the collected data.</w:t>
      </w:r>
    </w:p>
    <w:p>
      <w:pPr>
        <w:ind w:left="288" w:hanging="288"/>
      </w:pPr>
      <w:r>
        <w:t>- Write down one evidence-based next question. The lab is about interpreting operational data, not making an untested configuration change.</w:t>
      </w:r>
    </w:p>
    <w:p>
      <w:pPr>
        <w:pStyle w:val="Heading2"/>
      </w:pPr>
      <w:r>
        <w:rPr>
          <w:b w:val="0"/>
          <w:i w:val="0"/>
        </w:rPr>
        <w:t>Completion checklist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744"/>
            <w:vAlign w:val="center"/>
            <w:shd w:fill="17707F"/>
          </w:tcPr>
          <w:p>
            <w:pPr>
              <w:spacing w:after="40"/>
            </w:pPr>
            <w:r/>
            <w:r>
              <w:rPr>
                <w:b/>
                <w:color w:val="FFFFFF"/>
              </w:rPr>
              <w:t>Exercise</w:t>
            </w:r>
          </w:p>
        </w:tc>
        <w:tc>
          <w:tcPr>
            <w:tcW w:type="dxa" w:w="2016"/>
            <w:vAlign w:val="center"/>
            <w:shd w:fill="17707F"/>
          </w:tcPr>
          <w:p>
            <w:pPr>
              <w:spacing w:after="40"/>
            </w:pPr>
            <w:r/>
            <w:r>
              <w:rPr>
                <w:b/>
                <w:color w:val="FFFFFF"/>
              </w:rPr>
              <w:t>Collection complete</w:t>
            </w:r>
          </w:p>
        </w:tc>
        <w:tc>
          <w:tcPr>
            <w:tcW w:type="dxa" w:w="2016"/>
            <w:vAlign w:val="center"/>
            <w:shd w:fill="17707F"/>
          </w:tcPr>
          <w:p>
            <w:pPr>
              <w:spacing w:after="40"/>
            </w:pPr>
            <w:r/>
            <w:r>
              <w:rPr>
                <w:b/>
                <w:color w:val="FFFFFF"/>
              </w:rPr>
              <w:t>Data retrieved</w:t>
            </w:r>
          </w:p>
        </w:tc>
        <w:tc>
          <w:tcPr>
            <w:tcW w:type="dxa" w:w="2448"/>
            <w:vAlign w:val="center"/>
            <w:shd w:fill="17707F"/>
          </w:tcPr>
          <w:p>
            <w:pPr>
              <w:spacing w:after="40"/>
            </w:pPr>
            <w:r/>
            <w:r>
              <w:rPr>
                <w:b/>
                <w:color w:val="FFFFFF"/>
              </w:rPr>
              <w:t>Mini Report reviewed</w:t>
            </w:r>
          </w:p>
        </w:tc>
      </w:tr>
      <w:tr>
        <w:tc>
          <w:tcPr>
            <w:tcW w:type="dxa" w:w="3744"/>
            <w:vAlign w:val="center"/>
            <w:shd w:fill="F3F8F9"/>
          </w:tcPr>
          <w:p>
            <w:pPr>
              <w:spacing w:after="40"/>
            </w:pPr>
            <w:r/>
            <w:r>
              <w:rPr>
                <w:b w:val="0"/>
              </w:rPr>
              <w:t>Agent Performance</w:t>
            </w:r>
          </w:p>
        </w:tc>
        <w:tc>
          <w:tcPr>
            <w:tcW w:type="dxa" w:w="2016"/>
            <w:vAlign w:val="center"/>
            <w:shd w:fill="F3F8F9"/>
          </w:tcPr>
          <w:p>
            <w:pPr>
              <w:spacing w:after="40"/>
            </w:pPr>
            <w:r/>
            <w:r>
              <w:rPr>
                <w:b w:val="0"/>
              </w:rPr>
              <w:t>[ ]</w:t>
            </w:r>
          </w:p>
        </w:tc>
        <w:tc>
          <w:tcPr>
            <w:tcW w:type="dxa" w:w="2016"/>
            <w:vAlign w:val="center"/>
            <w:shd w:fill="F3F8F9"/>
          </w:tcPr>
          <w:p>
            <w:pPr>
              <w:spacing w:after="40"/>
            </w:pPr>
            <w:r/>
            <w:r>
              <w:rPr>
                <w:b w:val="0"/>
              </w:rPr>
              <w:t>[ ]</w:t>
            </w:r>
          </w:p>
        </w:tc>
        <w:tc>
          <w:tcPr>
            <w:tcW w:type="dxa" w:w="2448"/>
            <w:vAlign w:val="center"/>
            <w:shd w:fill="F3F8F9"/>
          </w:tcPr>
          <w:p>
            <w:pPr>
              <w:spacing w:after="40"/>
            </w:pPr>
            <w:r/>
            <w:r>
              <w:rPr>
                <w:b w:val="0"/>
              </w:rPr>
              <w:t>[ ]</w:t>
            </w:r>
          </w:p>
        </w:tc>
      </w:tr>
      <w:tr>
        <w:tc>
          <w:tcPr>
            <w:tcW w:type="dxa" w:w="3744"/>
            <w:vAlign w:val="center"/>
          </w:tcPr>
          <w:p>
            <w:pPr>
              <w:spacing w:after="40"/>
            </w:pPr>
            <w:r/>
            <w:r>
              <w:rPr>
                <w:b w:val="0"/>
              </w:rPr>
              <w:t>Perfmon</w:t>
            </w:r>
          </w:p>
        </w:tc>
        <w:tc>
          <w:tcPr>
            <w:tcW w:type="dxa" w:w="2016"/>
            <w:vAlign w:val="center"/>
          </w:tcPr>
          <w:p>
            <w:pPr>
              <w:spacing w:after="40"/>
            </w:pPr>
            <w:r/>
            <w:r>
              <w:rPr>
                <w:b w:val="0"/>
              </w:rPr>
              <w:t>[ ]</w:t>
            </w:r>
          </w:p>
        </w:tc>
        <w:tc>
          <w:tcPr>
            <w:tcW w:type="dxa" w:w="2016"/>
            <w:vAlign w:val="center"/>
          </w:tcPr>
          <w:p>
            <w:pPr>
              <w:spacing w:after="40"/>
            </w:pPr>
            <w:r/>
            <w:r>
              <w:rPr>
                <w:b w:val="0"/>
              </w:rPr>
              <w:t>[ ]</w:t>
            </w:r>
          </w:p>
        </w:tc>
        <w:tc>
          <w:tcPr>
            <w:tcW w:type="dxa" w:w="2448"/>
            <w:vAlign w:val="center"/>
          </w:tcPr>
          <w:p>
            <w:pPr>
              <w:spacing w:after="40"/>
            </w:pPr>
            <w:r/>
            <w:r>
              <w:rPr>
                <w:b w:val="0"/>
              </w:rPr>
              <w:t>[ ]</w:t>
            </w:r>
          </w:p>
        </w:tc>
      </w:tr>
      <w:tr>
        <w:tc>
          <w:tcPr>
            <w:tcW w:type="dxa" w:w="3744"/>
            <w:vAlign w:val="center"/>
            <w:shd w:fill="F3F8F9"/>
          </w:tcPr>
          <w:p>
            <w:pPr>
              <w:spacing w:after="40"/>
            </w:pPr>
            <w:r/>
            <w:r>
              <w:rPr>
                <w:b w:val="0"/>
              </w:rPr>
              <w:t>FillDB (optional)</w:t>
            </w:r>
          </w:p>
        </w:tc>
        <w:tc>
          <w:tcPr>
            <w:tcW w:type="dxa" w:w="2016"/>
            <w:vAlign w:val="center"/>
            <w:shd w:fill="F3F8F9"/>
          </w:tcPr>
          <w:p>
            <w:pPr>
              <w:spacing w:after="40"/>
            </w:pPr>
            <w:r/>
            <w:r>
              <w:rPr>
                <w:b w:val="0"/>
              </w:rPr>
              <w:t>[ ]</w:t>
            </w:r>
          </w:p>
        </w:tc>
        <w:tc>
          <w:tcPr>
            <w:tcW w:type="dxa" w:w="2016"/>
            <w:vAlign w:val="center"/>
            <w:shd w:fill="F3F8F9"/>
          </w:tcPr>
          <w:p>
            <w:pPr>
              <w:spacing w:after="40"/>
            </w:pPr>
            <w:r/>
            <w:r>
              <w:rPr>
                <w:b w:val="0"/>
              </w:rPr>
              <w:t>[ ]</w:t>
            </w:r>
          </w:p>
        </w:tc>
        <w:tc>
          <w:tcPr>
            <w:tcW w:type="dxa" w:w="2448"/>
            <w:vAlign w:val="center"/>
            <w:shd w:fill="F3F8F9"/>
          </w:tcPr>
          <w:p>
            <w:pPr>
              <w:spacing w:after="40"/>
            </w:pPr>
            <w:r/>
            <w:r>
              <w:rPr>
                <w:b w:val="0"/>
              </w:rPr>
              <w:t>[ ]</w:t>
            </w:r>
          </w:p>
        </w:tc>
      </w:tr>
    </w:tbl>
    <w:p/>
    <w:p>
      <w:pPr>
        <w:pStyle w:val="Heading1"/>
      </w:pPr>
      <w:r>
        <w:rPr>
          <w:b w:val="0"/>
          <w:i w:val="0"/>
        </w:rPr>
        <w:t>Troubleshooting</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17707F"/>
          </w:tcPr>
          <w:p>
            <w:pPr>
              <w:spacing w:after="40"/>
            </w:pPr>
            <w:r/>
            <w:r>
              <w:rPr>
                <w:b/>
                <w:color w:val="FFFFFF"/>
              </w:rPr>
              <w:t>Symptom</w:t>
            </w:r>
          </w:p>
        </w:tc>
        <w:tc>
          <w:tcPr>
            <w:tcW w:type="dxa" w:w="7776"/>
            <w:vAlign w:val="center"/>
            <w:shd w:fill="17707F"/>
          </w:tcPr>
          <w:p>
            <w:pPr>
              <w:spacing w:after="40"/>
            </w:pPr>
            <w:r/>
            <w:r>
              <w:rPr>
                <w:b/>
                <w:color w:val="FFFFFF"/>
              </w:rPr>
              <w:t>What to check</w:t>
            </w:r>
          </w:p>
        </w:tc>
      </w:tr>
      <w:tr>
        <w:tc>
          <w:tcPr>
            <w:tcW w:type="dxa" w:w="3024"/>
            <w:vAlign w:val="center"/>
            <w:shd w:fill="F3F8F9"/>
          </w:tcPr>
          <w:p>
            <w:pPr>
              <w:spacing w:after="40"/>
            </w:pPr>
            <w:r/>
            <w:r>
              <w:rPr>
                <w:b w:val="0"/>
              </w:rPr>
              <w:t>The Workbench shows Needs A File</w:t>
            </w:r>
          </w:p>
        </w:tc>
        <w:tc>
          <w:tcPr>
            <w:tcW w:type="dxa" w:w="7776"/>
            <w:vAlign w:val="center"/>
            <w:shd w:fill="F3F8F9"/>
          </w:tcPr>
          <w:p>
            <w:pPr>
              <w:spacing w:after="40"/>
            </w:pPr>
            <w:r/>
            <w:r>
              <w:rPr>
                <w:b w:val="0"/>
              </w:rPr>
              <w:t>Confirm the folder layout and file names. Open Details and use Change to select the capture manually.</w:t>
            </w:r>
          </w:p>
        </w:tc>
      </w:tr>
      <w:tr>
        <w:tc>
          <w:tcPr>
            <w:tcW w:type="dxa" w:w="3024"/>
            <w:vAlign w:val="center"/>
          </w:tcPr>
          <w:p>
            <w:pPr>
              <w:spacing w:after="40"/>
            </w:pPr>
            <w:r/>
            <w:r>
              <w:rPr>
                <w:b w:val="0"/>
              </w:rPr>
              <w:t>Agent Performance data is missing</w:t>
            </w:r>
          </w:p>
        </w:tc>
        <w:tc>
          <w:tcPr>
            <w:tcW w:type="dxa" w:w="7776"/>
            <w:vAlign w:val="center"/>
          </w:tcPr>
          <w:p>
            <w:pPr>
              <w:spacing w:after="40"/>
            </w:pPr>
            <w:r/>
            <w:r>
              <w:rPr>
                <w:b w:val="0"/>
              </w:rPr>
              <w:t>Confirm the Basic analysis is active and reporting, then confirm that the collection task completed on the root server.</w:t>
            </w:r>
          </w:p>
        </w:tc>
      </w:tr>
      <w:tr>
        <w:tc>
          <w:tcPr>
            <w:tcW w:type="dxa" w:w="3024"/>
            <w:vAlign w:val="center"/>
            <w:shd w:fill="F3F8F9"/>
          </w:tcPr>
          <w:p>
            <w:pPr>
              <w:spacing w:after="40"/>
            </w:pPr>
            <w:r/>
            <w:r>
              <w:rPr>
                <w:b w:val="0"/>
              </w:rPr>
              <w:t>Perfmon data is missing</w:t>
            </w:r>
          </w:p>
        </w:tc>
        <w:tc>
          <w:tcPr>
            <w:tcW w:type="dxa" w:w="7776"/>
            <w:vAlign w:val="center"/>
            <w:shd w:fill="F3F8F9"/>
          </w:tcPr>
          <w:p>
            <w:pPr>
              <w:spacing w:after="40"/>
            </w:pPr>
            <w:r/>
            <w:r>
              <w:rPr>
                <w:b w:val="0"/>
              </w:rPr>
              <w:t>Confirm the .blg was copied from the target machine and is not still active. The logs are not uploaded by the task.</w:t>
            </w:r>
          </w:p>
        </w:tc>
      </w:tr>
      <w:tr>
        <w:tc>
          <w:tcPr>
            <w:tcW w:type="dxa" w:w="3024"/>
            <w:vAlign w:val="center"/>
          </w:tcPr>
          <w:p>
            <w:pPr>
              <w:spacing w:after="40"/>
            </w:pPr>
            <w:r/>
            <w:r>
              <w:rPr>
                <w:b w:val="0"/>
              </w:rPr>
              <w:t>FillDB analysis is incomplete</w:t>
            </w:r>
          </w:p>
        </w:tc>
        <w:tc>
          <w:tcPr>
            <w:tcW w:type="dxa" w:w="7776"/>
            <w:vAlign w:val="center"/>
          </w:tcPr>
          <w:p>
            <w:pPr>
              <w:spacing w:after="40"/>
            </w:pPr>
            <w:r/>
            <w:r>
              <w:rPr>
                <w:b w:val="0"/>
              </w:rPr>
              <w:t>Keep FillDBPerf.log and all rollover files together, and confirm logging was disabled before retrieval.</w:t>
            </w:r>
          </w:p>
        </w:tc>
      </w:tr>
      <w:tr>
        <w:tc>
          <w:tcPr>
            <w:tcW w:type="dxa" w:w="3024"/>
            <w:vAlign w:val="center"/>
            <w:shd w:fill="F3F8F9"/>
          </w:tcPr>
          <w:p>
            <w:pPr>
              <w:spacing w:after="40"/>
            </w:pPr>
            <w:r/>
            <w:r>
              <w:rPr>
                <w:b w:val="0"/>
              </w:rPr>
              <w:t>A large capture is still processing</w:t>
            </w:r>
          </w:p>
        </w:tc>
        <w:tc>
          <w:tcPr>
            <w:tcW w:type="dxa" w:w="7776"/>
            <w:vAlign w:val="center"/>
            <w:shd w:fill="F3F8F9"/>
          </w:tcPr>
          <w:p>
            <w:pPr>
              <w:spacing w:after="40"/>
            </w:pPr>
            <w:r/>
            <w:r>
              <w:rPr>
                <w:b w:val="0"/>
              </w:rPr>
              <w:t>Allow the module time to finish. Perfmon conversion can take several minutes.</w:t>
            </w:r>
          </w:p>
        </w:tc>
      </w:tr>
      <w:tr>
        <w:tc>
          <w:tcPr>
            <w:tcW w:type="dxa" w:w="3024"/>
            <w:vAlign w:val="center"/>
          </w:tcPr>
          <w:p>
            <w:pPr>
              <w:spacing w:after="40"/>
            </w:pPr>
            <w:r/>
            <w:r>
              <w:rPr>
                <w:b w:val="0"/>
              </w:rPr>
              <w:t>A Mini Report or workbook will not open</w:t>
            </w:r>
          </w:p>
        </w:tc>
        <w:tc>
          <w:tcPr>
            <w:tcW w:type="dxa" w:w="7776"/>
            <w:vAlign w:val="center"/>
          </w:tcPr>
          <w:p>
            <w:pPr>
              <w:spacing w:after="40"/>
            </w:pPr>
            <w:r/>
            <w:r>
              <w:rPr>
                <w:b w:val="0"/>
              </w:rPr>
              <w:t>Use Microsoft Word and Excel first. Compatible applications such as LibreOffice have not been fully vetted.</w:t>
            </w:r>
          </w:p>
        </w:tc>
      </w:tr>
    </w:tbl>
    <w:p/>
    <w:p>
      <w:pPr>
        <w:jc w:val="center"/>
      </w:pPr>
      <w:r>
        <w:rPr>
          <w:b w:val="0"/>
          <w:i w:val="0"/>
        </w:rPr>
        <w:t>End of lab guide</w:t>
      </w:r>
    </w:p>
    <w:sectPr>
      <w:footerReference r:id="rId42" w:type="default"/>
      <w:footerReference r:id="rId43" w:type="even"/>
      <w:type w:val="nextPage"/>
      <w:pgSz w:h="15840" w:w="12240" w:orient="portrait"/>
      <w:pgMar w:bottom="936" w:top="936" w:left="1080" w:right="1080" w:header="674" w:footer="98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Courier New"/>
  <w:font w:name="Times New Roman"/>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7">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71" w:line="240" w:lineRule="auto"/>
      <w:ind w:left="10" w:right="360" w:hanging="1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17E">
    <w:pPr>
      <w:spacing w:line="200" w:lineRule="auto"/>
      <w:rPr>
        <w:sz w:val="20"/>
        <w:szCs w:val="2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hanging="360"/>
      </w:pPr>
      <w:rPr>
        <w:rFonts w:ascii="Times New Roman" w:cs="Times New Roman" w:eastAsia="Times New Roman" w:hAnsi="Times New Roman"/>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2126" w:hanging="360"/>
      </w:pPr>
      <w:rPr>
        <w:rFonts w:ascii="Noto Sans Symbols" w:cs="Noto Sans Symbols" w:eastAsia="Noto Sans Symbols" w:hAnsi="Noto Sans Symbols"/>
      </w:rPr>
    </w:lvl>
    <w:lvl w:ilvl="1">
      <w:start w:val="1"/>
      <w:numFmt w:val="bullet"/>
      <w:lvlText w:val="o"/>
      <w:lvlJc w:val="left"/>
      <w:pPr>
        <w:ind w:left="2846" w:hanging="360"/>
      </w:pPr>
      <w:rPr>
        <w:rFonts w:ascii="Courier New" w:cs="Courier New" w:eastAsia="Courier New" w:hAnsi="Courier New"/>
      </w:rPr>
    </w:lvl>
    <w:lvl w:ilvl="2">
      <w:start w:val="1"/>
      <w:numFmt w:val="bullet"/>
      <w:lvlText w:val="▪"/>
      <w:lvlJc w:val="left"/>
      <w:pPr>
        <w:ind w:left="3566" w:hanging="360"/>
      </w:pPr>
      <w:rPr>
        <w:rFonts w:ascii="Noto Sans Symbols" w:cs="Noto Sans Symbols" w:eastAsia="Noto Sans Symbols" w:hAnsi="Noto Sans Symbols"/>
      </w:rPr>
    </w:lvl>
    <w:lvl w:ilvl="3">
      <w:start w:val="1"/>
      <w:numFmt w:val="bullet"/>
      <w:lvlText w:val="●"/>
      <w:lvlJc w:val="left"/>
      <w:pPr>
        <w:ind w:left="4286" w:hanging="360"/>
      </w:pPr>
      <w:rPr>
        <w:rFonts w:ascii="Noto Sans Symbols" w:cs="Noto Sans Symbols" w:eastAsia="Noto Sans Symbols" w:hAnsi="Noto Sans Symbols"/>
      </w:rPr>
    </w:lvl>
    <w:lvl w:ilvl="4">
      <w:start w:val="1"/>
      <w:numFmt w:val="bullet"/>
      <w:lvlText w:val="o"/>
      <w:lvlJc w:val="left"/>
      <w:pPr>
        <w:ind w:left="5006" w:hanging="360"/>
      </w:pPr>
      <w:rPr>
        <w:rFonts w:ascii="Courier New" w:cs="Courier New" w:eastAsia="Courier New" w:hAnsi="Courier New"/>
      </w:rPr>
    </w:lvl>
    <w:lvl w:ilvl="5">
      <w:start w:val="1"/>
      <w:numFmt w:val="bullet"/>
      <w:lvlText w:val="▪"/>
      <w:lvlJc w:val="left"/>
      <w:pPr>
        <w:ind w:left="5726" w:hanging="360"/>
      </w:pPr>
      <w:rPr>
        <w:rFonts w:ascii="Noto Sans Symbols" w:cs="Noto Sans Symbols" w:eastAsia="Noto Sans Symbols" w:hAnsi="Noto Sans Symbols"/>
      </w:rPr>
    </w:lvl>
    <w:lvl w:ilvl="6">
      <w:start w:val="1"/>
      <w:numFmt w:val="bullet"/>
      <w:lvlText w:val="●"/>
      <w:lvlJc w:val="left"/>
      <w:pPr>
        <w:ind w:left="6446" w:hanging="360"/>
      </w:pPr>
      <w:rPr>
        <w:rFonts w:ascii="Noto Sans Symbols" w:cs="Noto Sans Symbols" w:eastAsia="Noto Sans Symbols" w:hAnsi="Noto Sans Symbols"/>
      </w:rPr>
    </w:lvl>
    <w:lvl w:ilvl="7">
      <w:start w:val="1"/>
      <w:numFmt w:val="bullet"/>
      <w:lvlText w:val="o"/>
      <w:lvlJc w:val="left"/>
      <w:pPr>
        <w:ind w:left="7166" w:hanging="360"/>
      </w:pPr>
      <w:rPr>
        <w:rFonts w:ascii="Courier New" w:cs="Courier New" w:eastAsia="Courier New" w:hAnsi="Courier New"/>
      </w:rPr>
    </w:lvl>
    <w:lvl w:ilvl="8">
      <w:start w:val="1"/>
      <w:numFmt w:val="bullet"/>
      <w:lvlText w:val="▪"/>
      <w:lvlJc w:val="left"/>
      <w:pPr>
        <w:ind w:left="7886" w:hanging="360"/>
      </w:pPr>
      <w:rPr>
        <w:rFonts w:ascii="Noto Sans Symbols" w:cs="Noto Sans Symbols" w:eastAsia="Noto Sans Symbols" w:hAnsi="Noto Sans Symbols"/>
      </w:rPr>
    </w:lvl>
  </w:abstractNum>
  <w:abstractNum w:abstractNumId="3">
    <w:lvl w:ilvl="0">
      <w:start w:val="1"/>
      <w:numFmt w:val="decimal"/>
      <w:lvlText w:val="____%1)"/>
      <w:lvlJc w:val="left"/>
      <w:pPr>
        <w:ind w:left="1710" w:hanging="360"/>
      </w:pPr>
      <w:rPr/>
    </w:lvl>
    <w:lvl w:ilvl="1">
      <w:start w:val="1"/>
      <w:numFmt w:val="lowerLetter"/>
      <w:lvlText w:val="___%2)"/>
      <w:lvlJc w:val="left"/>
      <w:pPr>
        <w:ind w:left="2126" w:hanging="360"/>
      </w:pPr>
      <w:rPr/>
    </w:lvl>
    <w:lvl w:ilvl="2">
      <w:start w:val="1"/>
      <w:numFmt w:val="lowerRoman"/>
      <w:lvlText w:val="___%3)"/>
      <w:lvlJc w:val="left"/>
      <w:pPr>
        <w:ind w:left="2486" w:hanging="360"/>
      </w:pPr>
      <w:rPr/>
    </w:lvl>
    <w:lvl w:ilvl="3">
      <w:start w:val="1"/>
      <w:numFmt w:val="decimal"/>
      <w:lvlText w:val="___(%4)"/>
      <w:lvlJc w:val="left"/>
      <w:pPr>
        <w:ind w:left="2846" w:hanging="360"/>
      </w:pPr>
      <w:rPr/>
    </w:lvl>
    <w:lvl w:ilvl="4">
      <w:start w:val="1"/>
      <w:numFmt w:val="lowerLetter"/>
      <w:lvlText w:val="___(%5)"/>
      <w:lvlJc w:val="left"/>
      <w:pPr>
        <w:ind w:left="3206" w:hanging="360"/>
      </w:pPr>
      <w:rPr/>
    </w:lvl>
    <w:lvl w:ilvl="5">
      <w:start w:val="1"/>
      <w:numFmt w:val="lowerRoman"/>
      <w:lvlText w:val="___(%6)"/>
      <w:lvlJc w:val="left"/>
      <w:pPr>
        <w:ind w:left="3566" w:hanging="360"/>
      </w:pPr>
      <w:rPr/>
    </w:lvl>
    <w:lvl w:ilvl="6">
      <w:start w:val="1"/>
      <w:numFmt w:val="decimal"/>
      <w:lvlText w:val="___%7."/>
      <w:lvlJc w:val="left"/>
      <w:pPr>
        <w:ind w:left="3926" w:hanging="360"/>
      </w:pPr>
      <w:rPr/>
    </w:lvl>
    <w:lvl w:ilvl="7">
      <w:start w:val="1"/>
      <w:numFmt w:val="lowerLetter"/>
      <w:lvlText w:val="___%8."/>
      <w:lvlJc w:val="left"/>
      <w:pPr>
        <w:ind w:left="4286" w:hanging="360"/>
      </w:pPr>
      <w:rPr/>
    </w:lvl>
    <w:lvl w:ilvl="8">
      <w:start w:val="1"/>
      <w:numFmt w:val="lowerRoman"/>
      <w:lvlText w:val="___%9."/>
      <w:lvlJc w:val="left"/>
      <w:pPr>
        <w:ind w:left="4646" w:hanging="360"/>
      </w:pPr>
      <w:rPr/>
    </w:lvl>
  </w:abstractNum>
  <w:abstractNum w:abstractNumId="4">
    <w:lvl w:ilvl="0">
      <w:start w:val="1"/>
      <w:numFmt w:val="decimal"/>
      <w:lvlText w:val="____%1)"/>
      <w:lvlJc w:val="left"/>
      <w:pPr>
        <w:ind w:left="3206" w:hanging="360"/>
      </w:pPr>
      <w:rPr>
        <w:b w:val="0"/>
        <w:bCs w:val="0"/>
      </w:rPr>
    </w:lvl>
    <w:lvl w:ilvl="1">
      <w:start w:val="1"/>
      <w:numFmt w:val="lowerLetter"/>
      <w:lvlText w:val="___%2)"/>
      <w:lvlJc w:val="left"/>
      <w:pPr>
        <w:ind w:left="3566" w:hanging="360"/>
      </w:pPr>
      <w:rPr/>
    </w:lvl>
    <w:lvl w:ilvl="2">
      <w:start w:val="1"/>
      <w:numFmt w:val="lowerRoman"/>
      <w:lvlText w:val="___%3)"/>
      <w:lvlJc w:val="left"/>
      <w:pPr>
        <w:ind w:left="3926" w:hanging="360"/>
      </w:pPr>
      <w:rPr/>
    </w:lvl>
    <w:lvl w:ilvl="3">
      <w:start w:val="1"/>
      <w:numFmt w:val="decimal"/>
      <w:lvlText w:val="___(%4)"/>
      <w:lvlJc w:val="left"/>
      <w:pPr>
        <w:ind w:left="4286" w:hanging="360"/>
      </w:pPr>
      <w:rPr/>
    </w:lvl>
    <w:lvl w:ilvl="4">
      <w:start w:val="1"/>
      <w:numFmt w:val="lowerLetter"/>
      <w:lvlText w:val="___(%5)"/>
      <w:lvlJc w:val="left"/>
      <w:pPr>
        <w:ind w:left="4646" w:hanging="360"/>
      </w:pPr>
      <w:rPr/>
    </w:lvl>
    <w:lvl w:ilvl="5">
      <w:start w:val="1"/>
      <w:numFmt w:val="lowerRoman"/>
      <w:lvlText w:val="___(%6)"/>
      <w:lvlJc w:val="left"/>
      <w:pPr>
        <w:ind w:left="5006" w:hanging="360"/>
      </w:pPr>
      <w:rPr/>
    </w:lvl>
    <w:lvl w:ilvl="6">
      <w:start w:val="1"/>
      <w:numFmt w:val="decimal"/>
      <w:lvlText w:val="___%7."/>
      <w:lvlJc w:val="left"/>
      <w:pPr>
        <w:ind w:left="5366" w:hanging="360"/>
      </w:pPr>
      <w:rPr/>
    </w:lvl>
    <w:lvl w:ilvl="7">
      <w:start w:val="1"/>
      <w:numFmt w:val="lowerLetter"/>
      <w:lvlText w:val="___%8."/>
      <w:lvlJc w:val="left"/>
      <w:pPr>
        <w:ind w:left="5726" w:hanging="360"/>
      </w:pPr>
      <w:rPr/>
    </w:lvl>
    <w:lvl w:ilvl="8">
      <w:start w:val="1"/>
      <w:numFmt w:val="lowerRoman"/>
      <w:lvlText w:val="___%9."/>
      <w:lvlJc w:val="left"/>
      <w:pPr>
        <w:ind w:left="6086" w:hanging="360"/>
      </w:pPr>
      <w:rPr/>
    </w:lvl>
  </w:abstractNum>
  <w:abstractNum w:abstractNumId="5">
    <w:lvl w:ilvl="0">
      <w:start w:val="1"/>
      <w:numFmt w:val="decimal"/>
      <w:lvlText w:val="____%1)"/>
      <w:lvlJc w:val="left"/>
      <w:pPr>
        <w:ind w:left="720" w:hanging="360"/>
      </w:pPr>
      <w:rPr/>
    </w:lvl>
    <w:lvl w:ilvl="1">
      <w:start w:val="1"/>
      <w:numFmt w:val="lowerLetter"/>
      <w:lvlText w:val="___%2)"/>
      <w:lvlJc w:val="left"/>
      <w:pPr>
        <w:ind w:left="1080" w:hanging="360"/>
      </w:pPr>
      <w:rPr/>
    </w:lvl>
    <w:lvl w:ilvl="2">
      <w:start w:val="1"/>
      <w:numFmt w:val="lowerRoman"/>
      <w:lvlText w:val="___%3)"/>
      <w:lvlJc w:val="left"/>
      <w:pPr>
        <w:ind w:left="1440" w:hanging="360"/>
      </w:pPr>
      <w:rPr/>
    </w:lvl>
    <w:lvl w:ilvl="3">
      <w:start w:val="1"/>
      <w:numFmt w:val="decimal"/>
      <w:lvlText w:val="___(%4)"/>
      <w:lvlJc w:val="left"/>
      <w:pPr>
        <w:ind w:left="1800" w:hanging="360"/>
      </w:pPr>
      <w:rPr/>
    </w:lvl>
    <w:lvl w:ilvl="4">
      <w:start w:val="1"/>
      <w:numFmt w:val="lowerLetter"/>
      <w:lvlText w:val="___(%5)"/>
      <w:lvlJc w:val="left"/>
      <w:pPr>
        <w:ind w:left="2160" w:hanging="360"/>
      </w:pPr>
      <w:rPr/>
    </w:lvl>
    <w:lvl w:ilvl="5">
      <w:start w:val="1"/>
      <w:numFmt w:val="lowerRoman"/>
      <w:lvlText w:val="___(%6)"/>
      <w:lvlJc w:val="left"/>
      <w:pPr>
        <w:ind w:left="2520" w:hanging="360"/>
      </w:pPr>
      <w:rPr/>
    </w:lvl>
    <w:lvl w:ilvl="6">
      <w:start w:val="1"/>
      <w:numFmt w:val="decimal"/>
      <w:lvlText w:val="___%7."/>
      <w:lvlJc w:val="left"/>
      <w:pPr>
        <w:ind w:left="2880" w:hanging="360"/>
      </w:pPr>
      <w:rPr/>
    </w:lvl>
    <w:lvl w:ilvl="7">
      <w:start w:val="1"/>
      <w:numFmt w:val="lowerLetter"/>
      <w:lvlText w:val="___%8."/>
      <w:lvlJc w:val="left"/>
      <w:pPr>
        <w:ind w:left="3240" w:hanging="360"/>
      </w:pPr>
      <w:rPr/>
    </w:lvl>
    <w:lvl w:ilvl="8">
      <w:start w:val="1"/>
      <w:numFmt w:val="lowerRoman"/>
      <w:lvlText w:val="___%9."/>
      <w:lvlJc w:val="left"/>
      <w:pPr>
        <w:ind w:left="3600" w:hanging="360"/>
      </w:pPr>
      <w:rPr/>
    </w:lvl>
  </w:abstractNum>
  <w:abstractNum w:abstractNumId="6">
    <w:lvl w:ilvl="0">
      <w:start w:val="1"/>
      <w:numFmt w:val="decimal"/>
      <w:lvlText w:val="____%1)"/>
      <w:lvlJc w:val="left"/>
      <w:pPr>
        <w:ind w:left="0" w:hanging="360"/>
      </w:pPr>
      <w:rPr/>
    </w:lvl>
    <w:lvl w:ilvl="1">
      <w:start w:val="1"/>
      <w:numFmt w:val="lowerLetter"/>
      <w:lvlText w:val="___%2)"/>
      <w:lvlJc w:val="left"/>
      <w:pPr>
        <w:ind w:left="360" w:hanging="360"/>
      </w:pPr>
      <w:rPr/>
    </w:lvl>
    <w:lvl w:ilvl="2">
      <w:start w:val="1"/>
      <w:numFmt w:val="lowerRoman"/>
      <w:lvlText w:val="___%3)"/>
      <w:lvlJc w:val="left"/>
      <w:pPr>
        <w:ind w:left="720" w:hanging="360"/>
      </w:pPr>
      <w:rPr/>
    </w:lvl>
    <w:lvl w:ilvl="3">
      <w:start w:val="1"/>
      <w:numFmt w:val="decimal"/>
      <w:lvlText w:val="___(%4)"/>
      <w:lvlJc w:val="left"/>
      <w:pPr>
        <w:ind w:left="1080" w:hanging="360"/>
      </w:pPr>
      <w:rPr/>
    </w:lvl>
    <w:lvl w:ilvl="4">
      <w:start w:val="1"/>
      <w:numFmt w:val="lowerLetter"/>
      <w:lvlText w:val="___(%5)"/>
      <w:lvlJc w:val="left"/>
      <w:pPr>
        <w:ind w:left="1440" w:hanging="360"/>
      </w:pPr>
      <w:rPr/>
    </w:lvl>
    <w:lvl w:ilvl="5">
      <w:start w:val="1"/>
      <w:numFmt w:val="lowerRoman"/>
      <w:lvlText w:val="___(%6)"/>
      <w:lvlJc w:val="left"/>
      <w:pPr>
        <w:ind w:left="1800" w:hanging="360"/>
      </w:pPr>
      <w:rPr/>
    </w:lvl>
    <w:lvl w:ilvl="6">
      <w:start w:val="1"/>
      <w:numFmt w:val="decimal"/>
      <w:lvlText w:val="___%7."/>
      <w:lvlJc w:val="left"/>
      <w:pPr>
        <w:ind w:left="2160" w:hanging="360"/>
      </w:pPr>
      <w:rPr/>
    </w:lvl>
    <w:lvl w:ilvl="7">
      <w:start w:val="1"/>
      <w:numFmt w:val="lowerLetter"/>
      <w:lvlText w:val="___%8."/>
      <w:lvlJc w:val="left"/>
      <w:pPr>
        <w:ind w:left="2520" w:hanging="360"/>
      </w:pPr>
      <w:rPr/>
    </w:lvl>
    <w:lvl w:ilvl="8">
      <w:start w:val="1"/>
      <w:numFmt w:val="lowerRoman"/>
      <w:lvlText w:val="___%9."/>
      <w:lvlJc w:val="left"/>
      <w:pPr>
        <w:ind w:left="2880" w:hanging="360"/>
      </w:pPr>
      <w:rPr/>
    </w:lvl>
  </w:abstractNum>
  <w:abstractNum w:abstractNumId="7">
    <w:lvl w:ilvl="0">
      <w:start w:val="1"/>
      <w:numFmt w:val="decimal"/>
      <w:lvlText w:val="____%1)"/>
      <w:lvlJc w:val="left"/>
      <w:pPr>
        <w:ind w:left="1766" w:hanging="360"/>
      </w:pPr>
      <w:rPr/>
    </w:lvl>
    <w:lvl w:ilvl="1">
      <w:start w:val="1"/>
      <w:numFmt w:val="lowerLetter"/>
      <w:lvlText w:val="___%2)"/>
      <w:lvlJc w:val="left"/>
      <w:pPr>
        <w:ind w:left="2126" w:hanging="360"/>
      </w:pPr>
      <w:rPr/>
    </w:lvl>
    <w:lvl w:ilvl="2">
      <w:start w:val="1"/>
      <w:numFmt w:val="lowerRoman"/>
      <w:lvlText w:val="___%3)"/>
      <w:lvlJc w:val="left"/>
      <w:pPr>
        <w:ind w:left="2486" w:hanging="360"/>
      </w:pPr>
      <w:rPr/>
    </w:lvl>
    <w:lvl w:ilvl="3">
      <w:start w:val="1"/>
      <w:numFmt w:val="decimal"/>
      <w:lvlText w:val="___(%4)"/>
      <w:lvlJc w:val="left"/>
      <w:pPr>
        <w:ind w:left="2846" w:hanging="360"/>
      </w:pPr>
      <w:rPr/>
    </w:lvl>
    <w:lvl w:ilvl="4">
      <w:start w:val="1"/>
      <w:numFmt w:val="lowerLetter"/>
      <w:lvlText w:val="___(%5)"/>
      <w:lvlJc w:val="left"/>
      <w:pPr>
        <w:ind w:left="3206" w:hanging="360"/>
      </w:pPr>
      <w:rPr/>
    </w:lvl>
    <w:lvl w:ilvl="5">
      <w:start w:val="1"/>
      <w:numFmt w:val="lowerRoman"/>
      <w:lvlText w:val="___(%6)"/>
      <w:lvlJc w:val="left"/>
      <w:pPr>
        <w:ind w:left="3566" w:hanging="360"/>
      </w:pPr>
      <w:rPr/>
    </w:lvl>
    <w:lvl w:ilvl="6">
      <w:start w:val="1"/>
      <w:numFmt w:val="decimal"/>
      <w:lvlText w:val="___%7."/>
      <w:lvlJc w:val="left"/>
      <w:pPr>
        <w:ind w:left="3926" w:hanging="360"/>
      </w:pPr>
      <w:rPr/>
    </w:lvl>
    <w:lvl w:ilvl="7">
      <w:start w:val="1"/>
      <w:numFmt w:val="lowerLetter"/>
      <w:lvlText w:val="___%8."/>
      <w:lvlJc w:val="left"/>
      <w:pPr>
        <w:ind w:left="4286" w:hanging="360"/>
      </w:pPr>
      <w:rPr/>
    </w:lvl>
    <w:lvl w:ilvl="8">
      <w:start w:val="1"/>
      <w:numFmt w:val="lowerRoman"/>
      <w:lvlText w:val="___%9."/>
      <w:lvlJc w:val="left"/>
      <w:pPr>
        <w:ind w:left="4646" w:hanging="360"/>
      </w:pPr>
      <w:rPr/>
    </w:lvl>
  </w:abstractNum>
  <w:abstractNum w:abstractNumId="8">
    <w:lvl w:ilvl="0">
      <w:start w:val="1"/>
      <w:numFmt w:val="decimal"/>
      <w:lvlText w:val="____%1)"/>
      <w:lvlJc w:val="left"/>
      <w:pPr>
        <w:ind w:left="1766" w:hanging="360"/>
      </w:pPr>
      <w:rPr/>
    </w:lvl>
    <w:lvl w:ilvl="1">
      <w:start w:val="1"/>
      <w:numFmt w:val="lowerLetter"/>
      <w:lvlText w:val="___%2)"/>
      <w:lvlJc w:val="left"/>
      <w:pPr>
        <w:ind w:left="2126" w:hanging="360"/>
      </w:pPr>
      <w:rPr/>
    </w:lvl>
    <w:lvl w:ilvl="2">
      <w:start w:val="1"/>
      <w:numFmt w:val="lowerRoman"/>
      <w:lvlText w:val="___%3)"/>
      <w:lvlJc w:val="left"/>
      <w:pPr>
        <w:ind w:left="2486" w:hanging="360"/>
      </w:pPr>
      <w:rPr/>
    </w:lvl>
    <w:lvl w:ilvl="3">
      <w:start w:val="1"/>
      <w:numFmt w:val="decimal"/>
      <w:lvlText w:val="___(%4)"/>
      <w:lvlJc w:val="left"/>
      <w:pPr>
        <w:ind w:left="2846" w:hanging="360"/>
      </w:pPr>
      <w:rPr/>
    </w:lvl>
    <w:lvl w:ilvl="4">
      <w:start w:val="1"/>
      <w:numFmt w:val="lowerLetter"/>
      <w:lvlText w:val="___(%5)"/>
      <w:lvlJc w:val="left"/>
      <w:pPr>
        <w:ind w:left="3206" w:hanging="360"/>
      </w:pPr>
      <w:rPr/>
    </w:lvl>
    <w:lvl w:ilvl="5">
      <w:start w:val="1"/>
      <w:numFmt w:val="lowerRoman"/>
      <w:lvlText w:val="___(%6)"/>
      <w:lvlJc w:val="left"/>
      <w:pPr>
        <w:ind w:left="3566" w:hanging="360"/>
      </w:pPr>
      <w:rPr/>
    </w:lvl>
    <w:lvl w:ilvl="6">
      <w:start w:val="1"/>
      <w:numFmt w:val="decimal"/>
      <w:lvlText w:val="___%7."/>
      <w:lvlJc w:val="left"/>
      <w:pPr>
        <w:ind w:left="3926" w:hanging="360"/>
      </w:pPr>
      <w:rPr/>
    </w:lvl>
    <w:lvl w:ilvl="7">
      <w:start w:val="1"/>
      <w:numFmt w:val="lowerLetter"/>
      <w:lvlText w:val="___%8."/>
      <w:lvlJc w:val="left"/>
      <w:pPr>
        <w:ind w:left="4286" w:hanging="360"/>
      </w:pPr>
      <w:rPr/>
    </w:lvl>
    <w:lvl w:ilvl="8">
      <w:start w:val="1"/>
      <w:numFmt w:val="lowerRoman"/>
      <w:lvlText w:val="___%9."/>
      <w:lvlJc w:val="left"/>
      <w:pPr>
        <w:ind w:left="4646" w:hanging="36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lowerLetter"/>
      <w:lvlText w:val="%4)"/>
      <w:lvlJc w:val="left"/>
      <w:pPr>
        <w:ind w:left="1440" w:hanging="360"/>
      </w:pPr>
      <w:rPr/>
    </w:lvl>
    <w:lvl w:ilvl="4">
      <w:start w:val="1"/>
      <w:numFmt w:val="bullet"/>
      <w:lvlText w:val="●"/>
      <w:lvlJc w:val="left"/>
      <w:pPr>
        <w:ind w:left="1800" w:hanging="360"/>
      </w:pPr>
      <w:rPr>
        <w:rFonts w:ascii="Noto Sans Symbols" w:cs="Noto Sans Symbols" w:eastAsia="Noto Sans Symbols" w:hAnsi="Noto Sans Symbols"/>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42" w:before="71" w:lineRule="auto"/>
        <w:ind w:left="360" w:right="360" w:firstLine="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33" w:line="246.99999999999994" w:lineRule="auto"/>
      <w:ind w:left="544" w:hanging="10"/>
    </w:pPr>
    <w:rPr>
      <w:rFonts w:ascii="Arial" w:cs="Arial" w:eastAsia="Arial" w:hAnsi="Arial"/>
      <w:b w:val="1"/>
      <w:bCs w:val="1"/>
      <w:color w:val="000000"/>
      <w:sz w:val="52"/>
      <w:szCs w:val="52"/>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71" w:line="256" w:lineRule="auto"/>
      <w:ind w:left="10" w:right="360" w:hanging="10"/>
      <w:jc w:val="left"/>
    </w:pPr>
    <w:rPr>
      <w:rFonts w:ascii="Calibri" w:cs="Calibri" w:eastAsia="Calibri" w:hAnsi="Calibri"/>
      <w:b w:val="1"/>
      <w:bCs w:val="1"/>
      <w:i w:val="0"/>
      <w:iCs w:val="0"/>
      <w:smallCaps w:val="0"/>
      <w:strike w:val="0"/>
      <w:color w:val="1d3549"/>
      <w:sz w:val="32"/>
      <w:szCs w:val="32"/>
      <w:u w:val="none"/>
      <w:shd w:fill="auto" w:val="clear"/>
      <w:vertAlign w:val="baseline"/>
    </w:rPr>
  </w:style>
  <w:style w:type="paragraph" w:styleId="Heading3">
    <w:name w:val="heading 3"/>
    <w:basedOn w:val="Normal"/>
    <w:next w:val="Normal"/>
    <w:pPr>
      <w:spacing w:line="246.99999999999994" w:lineRule="auto"/>
      <w:ind w:left="1416" w:hanging="10"/>
    </w:pPr>
    <w:rPr>
      <w:b w:val="1"/>
      <w:bCs w:val="1"/>
      <w:color w:val="000000"/>
      <w:u w:val="single"/>
    </w:rPr>
  </w:style>
  <w:style w:type="paragraph" w:styleId="Heading4">
    <w:name w:val="heading 4"/>
    <w:basedOn w:val="Normal"/>
    <w:next w:val="Normal"/>
    <w:pPr>
      <w:keepNext w:val="1"/>
      <w:keepLines w:val="1"/>
      <w:spacing w:after="0" w:before="40" w:line="246.99999999999994" w:lineRule="auto"/>
      <w:ind w:left="10" w:hanging="10"/>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ind w:left="10" w:hanging="10"/>
    </w:pPr>
    <w:rPr>
      <w:rFonts w:ascii="Calibri" w:cs="Calibri" w:eastAsia="Calibri" w:hAnsi="Calibri"/>
      <w:sz w:val="56"/>
      <w:szCs w:val="56"/>
    </w:rPr>
  </w:style>
  <w:style w:type="paragraph" w:styleId="Normal" w:default="1">
    <w:name w:val="Normal"/>
    <w:qFormat w:val="1"/>
    <w:rsid w:val="00221DD4"/>
  </w:style>
  <w:style w:type="paragraph" w:styleId="Heading1">
    <w:name w:val="heading 1"/>
    <w:basedOn w:val="Normal"/>
    <w:link w:val="Heading1Char"/>
    <w:uiPriority w:val="1"/>
    <w:qFormat w:val="1"/>
    <w:rsid w:val="00393167"/>
    <w:pPr>
      <w:spacing w:before="33" w:line="247" w:lineRule="auto"/>
      <w:ind w:left="544" w:hanging="10"/>
      <w:outlineLvl w:val="0"/>
    </w:pPr>
    <w:rPr>
      <w:rFonts w:ascii="Arial" w:cs="Calibri" w:eastAsia="Arial" w:hAnsi="Arial"/>
      <w:b w:val="1"/>
      <w:bCs w:val="1"/>
      <w:color w:val="000000"/>
      <w:sz w:val="52"/>
      <w:szCs w:val="52"/>
    </w:rPr>
  </w:style>
  <w:style w:type="paragraph" w:styleId="Heading2">
    <w:name w:val="heading 2"/>
    <w:next w:val="Normal"/>
    <w:link w:val="Heading2Char"/>
    <w:uiPriority w:val="1"/>
    <w:unhideWhenUsed w:val="1"/>
    <w:qFormat w:val="1"/>
    <w:rsid w:val="00393167"/>
    <w:pPr>
      <w:keepNext w:val="1"/>
      <w:keepLines w:val="1"/>
      <w:spacing w:after="0" w:line="256" w:lineRule="auto"/>
      <w:ind w:left="10" w:hanging="10"/>
      <w:outlineLvl w:val="1"/>
    </w:pPr>
    <w:rPr>
      <w:rFonts w:ascii="Calibri" w:cs="Calibri" w:eastAsia="Calibri" w:hAnsi="Calibri"/>
      <w:b w:val="1"/>
      <w:color w:val="1d3549"/>
      <w:sz w:val="32"/>
    </w:rPr>
  </w:style>
  <w:style w:type="paragraph" w:styleId="Heading3">
    <w:name w:val="heading 3"/>
    <w:basedOn w:val="Normal"/>
    <w:link w:val="Heading3Char"/>
    <w:uiPriority w:val="1"/>
    <w:qFormat w:val="1"/>
    <w:rsid w:val="00393167"/>
    <w:pPr>
      <w:spacing w:line="247" w:lineRule="auto"/>
      <w:ind w:left="1416" w:hanging="10"/>
      <w:outlineLvl w:val="2"/>
    </w:pPr>
    <w:rPr>
      <w:rFonts w:cs="Calibri" w:hAnsiTheme="minorHAnsi"/>
      <w:b w:val="1"/>
      <w:bCs w:val="1"/>
      <w:color w:val="000000"/>
      <w:u w:val="single"/>
    </w:rPr>
  </w:style>
  <w:style w:type="paragraph" w:styleId="Heading4">
    <w:name w:val="heading 4"/>
    <w:basedOn w:val="Normal"/>
    <w:next w:val="Normal"/>
    <w:link w:val="Heading4Char"/>
    <w:uiPriority w:val="1"/>
    <w:unhideWhenUsed w:val="1"/>
    <w:qFormat w:val="1"/>
    <w:rsid w:val="00393167"/>
    <w:pPr>
      <w:keepNext w:val="1"/>
      <w:keepLines w:val="1"/>
      <w:spacing w:after="0" w:before="40" w:line="247" w:lineRule="auto"/>
      <w:ind w:left="10" w:hanging="10"/>
      <w:outlineLvl w:val="3"/>
    </w:pPr>
    <w:rPr>
      <w:rFonts w:asciiTheme="majorHAnsi" w:cstheme="majorBidi" w:eastAsiaTheme="majorEastAsia" w:hAnsiTheme="majorHAnsi"/>
      <w:i w:val="1"/>
      <w:iCs w:val="1"/>
      <w:color w:val="2f5496" w:themeColor="accent1" w:themeShade="0000B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1"/>
    <w:rsid w:val="00393167"/>
    <w:rPr>
      <w:rFonts w:ascii="Arial" w:cs="Calibri" w:eastAsia="Arial" w:hAnsi="Arial"/>
      <w:b w:val="1"/>
      <w:bCs w:val="1"/>
      <w:color w:val="000000"/>
      <w:sz w:val="52"/>
      <w:szCs w:val="52"/>
    </w:rPr>
  </w:style>
  <w:style w:type="character" w:styleId="Heading2Char" w:customStyle="1">
    <w:name w:val="Heading 2 Char"/>
    <w:basedOn w:val="DefaultParagraphFont"/>
    <w:link w:val="Heading2"/>
    <w:uiPriority w:val="9"/>
    <w:rsid w:val="00393167"/>
    <w:rPr>
      <w:rFonts w:ascii="Calibri" w:cs="Calibri" w:eastAsia="Calibri" w:hAnsi="Calibri"/>
      <w:b w:val="1"/>
      <w:color w:val="1d3549"/>
      <w:sz w:val="32"/>
    </w:rPr>
  </w:style>
  <w:style w:type="character" w:styleId="Heading3Char" w:customStyle="1">
    <w:name w:val="Heading 3 Char"/>
    <w:basedOn w:val="DefaultParagraphFont"/>
    <w:link w:val="Heading3"/>
    <w:uiPriority w:val="9"/>
    <w:rsid w:val="00393167"/>
    <w:rPr>
      <w:rFonts w:cs="Calibri" w:hAnsiTheme="minorHAnsi"/>
      <w:b w:val="1"/>
      <w:bCs w:val="1"/>
      <w:color w:val="000000"/>
      <w:u w:val="single"/>
    </w:rPr>
  </w:style>
  <w:style w:type="character" w:styleId="Heading4Char" w:customStyle="1">
    <w:name w:val="Heading 4 Char"/>
    <w:basedOn w:val="DefaultParagraphFont"/>
    <w:link w:val="Heading4"/>
    <w:uiPriority w:val="9"/>
    <w:rsid w:val="00393167"/>
    <w:rPr>
      <w:rFonts w:asciiTheme="majorHAnsi" w:cstheme="majorBidi" w:eastAsiaTheme="majorEastAsia" w:hAnsiTheme="majorHAnsi"/>
      <w:i w:val="1"/>
      <w:iCs w:val="1"/>
      <w:color w:val="2f5496" w:themeColor="accent1" w:themeShade="0000BF"/>
    </w:rPr>
  </w:style>
  <w:style w:type="paragraph" w:styleId="BodyText">
    <w:name w:val="Body Text"/>
    <w:basedOn w:val="Normal"/>
    <w:link w:val="BodyTextChar"/>
    <w:uiPriority w:val="1"/>
    <w:qFormat w:val="1"/>
    <w:rsid w:val="00393167"/>
    <w:pPr>
      <w:spacing w:line="247" w:lineRule="auto"/>
      <w:ind w:left="1416" w:hanging="10"/>
    </w:pPr>
    <w:rPr>
      <w:rFonts w:cs="Calibri" w:hAnsiTheme="minorHAnsi"/>
      <w:color w:val="000000"/>
    </w:rPr>
  </w:style>
  <w:style w:type="character" w:styleId="BodyTextChar" w:customStyle="1">
    <w:name w:val="Body Text Char"/>
    <w:basedOn w:val="DefaultParagraphFont"/>
    <w:link w:val="BodyText"/>
    <w:uiPriority w:val="1"/>
    <w:rsid w:val="00393167"/>
    <w:rPr>
      <w:rFonts w:cs="Calibri" w:hAnsiTheme="minorHAnsi"/>
      <w:color w:val="000000"/>
    </w:rPr>
  </w:style>
  <w:style w:type="paragraph" w:styleId="ListParagraph">
    <w:name w:val="List Paragraph"/>
    <w:basedOn w:val="Normal"/>
    <w:uiPriority w:val="1"/>
    <w:qFormat w:val="1"/>
    <w:rsid w:val="00393167"/>
    <w:pPr>
      <w:spacing w:line="247" w:lineRule="auto"/>
      <w:ind w:left="10" w:hanging="10"/>
    </w:pPr>
    <w:rPr>
      <w:rFonts w:ascii="Calibri" w:cs="Calibri" w:eastAsia="Calibri" w:hAnsi="Calibri"/>
      <w:color w:val="000000"/>
    </w:rPr>
  </w:style>
  <w:style w:type="paragraph" w:styleId="TableParagraph" w:customStyle="1">
    <w:name w:val="Table Paragraph"/>
    <w:basedOn w:val="Normal"/>
    <w:uiPriority w:val="1"/>
    <w:qFormat w:val="1"/>
    <w:rsid w:val="00393167"/>
    <w:pPr>
      <w:spacing w:line="247" w:lineRule="auto"/>
      <w:ind w:left="10" w:hanging="10"/>
    </w:pPr>
    <w:rPr>
      <w:rFonts w:ascii="Calibri" w:cs="Calibri" w:eastAsia="Calibri" w:hAnsi="Calibri"/>
      <w:color w:val="000000"/>
    </w:rPr>
  </w:style>
  <w:style w:type="character" w:styleId="Hyperlink">
    <w:name w:val="Hyperlink"/>
    <w:basedOn w:val="DefaultParagraphFont"/>
    <w:uiPriority w:val="99"/>
    <w:unhideWhenUsed w:val="1"/>
    <w:rsid w:val="00393167"/>
    <w:rPr>
      <w:color w:val="0000ff"/>
      <w:u w:val="single"/>
    </w:rPr>
  </w:style>
  <w:style w:type="paragraph" w:styleId="Header">
    <w:name w:val="header"/>
    <w:basedOn w:val="Normal"/>
    <w:link w:val="HeaderChar"/>
    <w:uiPriority w:val="99"/>
    <w:unhideWhenUsed w:val="1"/>
    <w:rsid w:val="00393167"/>
    <w:pPr>
      <w:tabs>
        <w:tab w:val="center" w:pos="4680"/>
        <w:tab w:val="right" w:pos="9360"/>
      </w:tabs>
      <w:spacing w:after="0"/>
      <w:ind w:left="10" w:hanging="10"/>
    </w:pPr>
    <w:rPr>
      <w:rFonts w:ascii="Calibri" w:cs="Calibri" w:eastAsia="Calibri" w:hAnsi="Calibri"/>
      <w:color w:val="000000"/>
    </w:rPr>
  </w:style>
  <w:style w:type="character" w:styleId="HeaderChar" w:customStyle="1">
    <w:name w:val="Header Char"/>
    <w:basedOn w:val="DefaultParagraphFont"/>
    <w:link w:val="Header"/>
    <w:uiPriority w:val="99"/>
    <w:rsid w:val="00393167"/>
    <w:rPr>
      <w:rFonts w:ascii="Calibri" w:cs="Calibri" w:eastAsia="Calibri" w:hAnsi="Calibri"/>
      <w:color w:val="000000"/>
    </w:rPr>
  </w:style>
  <w:style w:type="paragraph" w:styleId="Footer">
    <w:name w:val="footer"/>
    <w:basedOn w:val="Normal"/>
    <w:link w:val="FooterChar"/>
    <w:uiPriority w:val="99"/>
    <w:unhideWhenUsed w:val="1"/>
    <w:rsid w:val="00393167"/>
    <w:pPr>
      <w:tabs>
        <w:tab w:val="center" w:pos="4680"/>
        <w:tab w:val="right" w:pos="9360"/>
      </w:tabs>
      <w:spacing w:after="0"/>
      <w:ind w:left="10" w:hanging="10"/>
    </w:pPr>
    <w:rPr>
      <w:rFonts w:ascii="Calibri" w:cs="Calibri" w:eastAsia="Calibri" w:hAnsi="Calibri"/>
      <w:color w:val="000000"/>
    </w:rPr>
  </w:style>
  <w:style w:type="character" w:styleId="FooterChar" w:customStyle="1">
    <w:name w:val="Footer Char"/>
    <w:basedOn w:val="DefaultParagraphFont"/>
    <w:link w:val="Footer"/>
    <w:uiPriority w:val="99"/>
    <w:rsid w:val="00393167"/>
    <w:rPr>
      <w:rFonts w:ascii="Calibri" w:cs="Calibri" w:eastAsia="Calibri" w:hAnsi="Calibri"/>
      <w:color w:val="000000"/>
    </w:rPr>
  </w:style>
  <w:style w:type="character" w:styleId="UnresolvedMention1" w:customStyle="1">
    <w:name w:val="Unresolved Mention1"/>
    <w:basedOn w:val="DefaultParagraphFont"/>
    <w:uiPriority w:val="99"/>
    <w:semiHidden w:val="1"/>
    <w:unhideWhenUsed w:val="1"/>
    <w:rsid w:val="00393167"/>
    <w:rPr>
      <w:color w:val="808080"/>
      <w:shd w:color="auto" w:fill="e6e6e6" w:val="clear"/>
    </w:rPr>
  </w:style>
  <w:style w:type="paragraph" w:styleId="BalloonText">
    <w:name w:val="Balloon Text"/>
    <w:basedOn w:val="Normal"/>
    <w:link w:val="BalloonTextChar"/>
    <w:uiPriority w:val="99"/>
    <w:semiHidden w:val="1"/>
    <w:unhideWhenUsed w:val="1"/>
    <w:rsid w:val="00393167"/>
    <w:pPr>
      <w:spacing w:after="0"/>
      <w:ind w:left="10" w:hanging="10"/>
    </w:pPr>
    <w:rPr>
      <w:rFonts w:ascii="Segoe UI" w:cs="Segoe UI" w:eastAsia="Calibri" w:hAnsi="Segoe UI"/>
      <w:color w:val="000000"/>
      <w:sz w:val="18"/>
      <w:szCs w:val="18"/>
    </w:rPr>
  </w:style>
  <w:style w:type="character" w:styleId="BalloonTextChar" w:customStyle="1">
    <w:name w:val="Balloon Text Char"/>
    <w:basedOn w:val="DefaultParagraphFont"/>
    <w:link w:val="BalloonText"/>
    <w:uiPriority w:val="99"/>
    <w:semiHidden w:val="1"/>
    <w:rsid w:val="00393167"/>
    <w:rPr>
      <w:rFonts w:ascii="Segoe UI" w:cs="Segoe UI" w:eastAsia="Calibri" w:hAnsi="Segoe UI"/>
      <w:color w:val="000000"/>
      <w:sz w:val="18"/>
      <w:szCs w:val="18"/>
    </w:rPr>
  </w:style>
  <w:style w:type="paragraph" w:styleId="TOCHeading">
    <w:name w:val="TOC Heading"/>
    <w:basedOn w:val="Heading1"/>
    <w:next w:val="Normal"/>
    <w:uiPriority w:val="39"/>
    <w:unhideWhenUsed w:val="1"/>
    <w:qFormat w:val="1"/>
    <w:rsid w:val="00393167"/>
    <w:pPr>
      <w:keepNext w:val="1"/>
      <w:keepLines w:val="1"/>
      <w:spacing w:after="0" w:before="240" w:line="259" w:lineRule="auto"/>
      <w:ind w:left="0" w:firstLine="0"/>
      <w:outlineLvl w:val="9"/>
    </w:pPr>
    <w:rPr>
      <w:rFonts w:asciiTheme="majorHAnsi" w:cstheme="majorBidi" w:eastAsiaTheme="majorEastAsia" w:hAnsiTheme="majorHAnsi"/>
      <w:b w:val="0"/>
      <w:bCs w:val="0"/>
      <w:color w:val="2f5496" w:themeColor="accent1" w:themeShade="0000BF"/>
      <w:sz w:val="32"/>
      <w:szCs w:val="32"/>
    </w:rPr>
  </w:style>
  <w:style w:type="paragraph" w:styleId="TOC1">
    <w:name w:val="toc 1"/>
    <w:basedOn w:val="Normal"/>
    <w:next w:val="Normal"/>
    <w:autoRedefine w:val="1"/>
    <w:uiPriority w:val="39"/>
    <w:unhideWhenUsed w:val="1"/>
    <w:qFormat w:val="1"/>
    <w:rsid w:val="00393167"/>
    <w:pPr>
      <w:tabs>
        <w:tab w:val="right" w:leader="dot" w:pos="10650"/>
      </w:tabs>
      <w:spacing w:after="100" w:line="247" w:lineRule="auto"/>
      <w:ind w:hanging="10"/>
    </w:pPr>
    <w:rPr>
      <w:rFonts w:ascii="Calibri" w:cs="Calibri" w:eastAsia="Calibri" w:hAnsi="Calibri"/>
      <w:color w:val="000000"/>
    </w:rPr>
  </w:style>
  <w:style w:type="paragraph" w:styleId="TOC2">
    <w:name w:val="toc 2"/>
    <w:basedOn w:val="Normal"/>
    <w:next w:val="Normal"/>
    <w:autoRedefine w:val="1"/>
    <w:uiPriority w:val="39"/>
    <w:unhideWhenUsed w:val="1"/>
    <w:qFormat w:val="1"/>
    <w:rsid w:val="00393167"/>
    <w:pPr>
      <w:spacing w:after="100" w:line="247" w:lineRule="auto"/>
      <w:ind w:left="220" w:hanging="10"/>
    </w:pPr>
    <w:rPr>
      <w:rFonts w:ascii="Calibri" w:cs="Calibri" w:eastAsia="Calibri" w:hAnsi="Calibri"/>
      <w:color w:val="000000"/>
    </w:rPr>
  </w:style>
  <w:style w:type="paragraph" w:styleId="TOC3">
    <w:name w:val="toc 3"/>
    <w:basedOn w:val="Normal"/>
    <w:next w:val="Normal"/>
    <w:autoRedefine w:val="1"/>
    <w:uiPriority w:val="39"/>
    <w:unhideWhenUsed w:val="1"/>
    <w:qFormat w:val="1"/>
    <w:rsid w:val="00393167"/>
    <w:pPr>
      <w:spacing w:after="100" w:line="247" w:lineRule="auto"/>
      <w:ind w:left="440" w:hanging="10"/>
    </w:pPr>
    <w:rPr>
      <w:rFonts w:ascii="Calibri" w:cs="Calibri" w:eastAsia="Calibri" w:hAnsi="Calibri"/>
      <w:color w:val="000000"/>
    </w:rPr>
  </w:style>
  <w:style w:type="paragraph" w:styleId="NoSpacing">
    <w:name w:val="No Spacing"/>
    <w:uiPriority w:val="1"/>
    <w:qFormat w:val="1"/>
    <w:rsid w:val="00393167"/>
    <w:pPr>
      <w:spacing w:after="0"/>
      <w:ind w:left="10" w:hanging="10"/>
    </w:pPr>
    <w:rPr>
      <w:rFonts w:ascii="Calibri" w:cs="Calibri" w:eastAsia="Calibri" w:hAnsi="Calibri"/>
      <w:color w:val="000000"/>
    </w:rPr>
  </w:style>
  <w:style w:type="character" w:styleId="CommentReference">
    <w:name w:val="annotation reference"/>
    <w:basedOn w:val="DefaultParagraphFont"/>
    <w:uiPriority w:val="99"/>
    <w:semiHidden w:val="1"/>
    <w:unhideWhenUsed w:val="1"/>
    <w:rsid w:val="00393167"/>
    <w:rPr>
      <w:sz w:val="16"/>
      <w:szCs w:val="16"/>
    </w:rPr>
  </w:style>
  <w:style w:type="paragraph" w:styleId="CommentText">
    <w:name w:val="annotation text"/>
    <w:basedOn w:val="Normal"/>
    <w:link w:val="CommentTextChar"/>
    <w:uiPriority w:val="99"/>
    <w:semiHidden w:val="1"/>
    <w:unhideWhenUsed w:val="1"/>
    <w:rsid w:val="00393167"/>
    <w:pPr>
      <w:ind w:left="10" w:hanging="10"/>
    </w:pPr>
    <w:rPr>
      <w:rFonts w:ascii="Calibri" w:cs="Calibri" w:eastAsia="Calibri" w:hAnsi="Calibri"/>
      <w:color w:val="000000"/>
      <w:sz w:val="20"/>
      <w:szCs w:val="20"/>
    </w:rPr>
  </w:style>
  <w:style w:type="character" w:styleId="CommentTextChar" w:customStyle="1">
    <w:name w:val="Comment Text Char"/>
    <w:basedOn w:val="DefaultParagraphFont"/>
    <w:link w:val="CommentText"/>
    <w:uiPriority w:val="99"/>
    <w:semiHidden w:val="1"/>
    <w:rsid w:val="00393167"/>
    <w:rPr>
      <w:rFonts w:ascii="Calibri" w:cs="Calibri" w:eastAsia="Calibri" w:hAnsi="Calibri"/>
      <w:color w:val="000000"/>
      <w:sz w:val="20"/>
      <w:szCs w:val="20"/>
    </w:rPr>
  </w:style>
  <w:style w:type="paragraph" w:styleId="CommentSubject">
    <w:name w:val="annotation subject"/>
    <w:basedOn w:val="CommentText"/>
    <w:next w:val="CommentText"/>
    <w:link w:val="CommentSubjectChar"/>
    <w:uiPriority w:val="99"/>
    <w:semiHidden w:val="1"/>
    <w:unhideWhenUsed w:val="1"/>
    <w:rsid w:val="00393167"/>
    <w:rPr>
      <w:b w:val="1"/>
      <w:bCs w:val="1"/>
    </w:rPr>
  </w:style>
  <w:style w:type="character" w:styleId="CommentSubjectChar" w:customStyle="1">
    <w:name w:val="Comment Subject Char"/>
    <w:basedOn w:val="CommentTextChar"/>
    <w:link w:val="CommentSubject"/>
    <w:uiPriority w:val="99"/>
    <w:semiHidden w:val="1"/>
    <w:rsid w:val="00393167"/>
    <w:rPr>
      <w:rFonts w:ascii="Calibri" w:cs="Calibri" w:eastAsia="Calibri" w:hAnsi="Calibri"/>
      <w:b w:val="1"/>
      <w:bCs w:val="1"/>
      <w:color w:val="000000"/>
      <w:sz w:val="20"/>
      <w:szCs w:val="20"/>
    </w:rPr>
  </w:style>
  <w:style w:type="paragraph" w:styleId="NormalWeb">
    <w:name w:val="Normal (Web)"/>
    <w:basedOn w:val="Normal"/>
    <w:uiPriority w:val="99"/>
    <w:unhideWhenUsed w:val="1"/>
    <w:rsid w:val="00393167"/>
    <w:pPr>
      <w:spacing w:after="100" w:afterAutospacing="1" w:before="100" w:beforeAutospacing="1"/>
    </w:pPr>
    <w:rPr>
      <w:rFonts w:ascii="Times New Roman"/>
      <w:sz w:val="24"/>
      <w:szCs w:val="24"/>
    </w:rPr>
  </w:style>
  <w:style w:type="character" w:styleId="FollowedHyperlink">
    <w:name w:val="FollowedHyperlink"/>
    <w:basedOn w:val="DefaultParagraphFont"/>
    <w:uiPriority w:val="99"/>
    <w:semiHidden w:val="1"/>
    <w:unhideWhenUsed w:val="1"/>
    <w:rsid w:val="00393167"/>
    <w:rPr>
      <w:color w:val="954f72" w:themeColor="followedHyperlink"/>
      <w:u w:val="single"/>
    </w:rPr>
  </w:style>
  <w:style w:type="character" w:styleId="UnresolvedMention10" w:customStyle="1">
    <w:name w:val="Unresolved Mention10"/>
    <w:basedOn w:val="DefaultParagraphFont"/>
    <w:uiPriority w:val="99"/>
    <w:semiHidden w:val="1"/>
    <w:unhideWhenUsed w:val="1"/>
    <w:rsid w:val="00393167"/>
    <w:rPr>
      <w:color w:val="808080"/>
      <w:shd w:color="auto" w:fill="e6e6e6" w:val="clear"/>
    </w:rPr>
  </w:style>
  <w:style w:type="character" w:styleId="relevancedefault" w:customStyle="1">
    <w:name w:val="relevancedefault"/>
    <w:basedOn w:val="DefaultParagraphFont"/>
    <w:rsid w:val="00393167"/>
  </w:style>
  <w:style w:type="character" w:styleId="relevancekeyword" w:customStyle="1">
    <w:name w:val="relevancekeyword"/>
    <w:basedOn w:val="DefaultParagraphFont"/>
    <w:rsid w:val="00393167"/>
  </w:style>
  <w:style w:type="character" w:styleId="relevancestring" w:customStyle="1">
    <w:name w:val="relevancestring"/>
    <w:basedOn w:val="DefaultParagraphFont"/>
    <w:rsid w:val="00393167"/>
  </w:style>
  <w:style w:type="character" w:styleId="relevanceoperator" w:customStyle="1">
    <w:name w:val="relevanceoperator"/>
    <w:basedOn w:val="DefaultParagraphFont"/>
    <w:rsid w:val="00393167"/>
  </w:style>
  <w:style w:type="character" w:styleId="relevanceconstant" w:customStyle="1">
    <w:name w:val="relevanceconstant"/>
    <w:basedOn w:val="DefaultParagraphFont"/>
    <w:rsid w:val="00393167"/>
  </w:style>
  <w:style w:type="character" w:styleId="author-245947374" w:customStyle="1">
    <w:name w:val="author-245947374"/>
    <w:basedOn w:val="DefaultParagraphFont"/>
    <w:rsid w:val="00393167"/>
  </w:style>
  <w:style w:type="paragraph" w:styleId="Title">
    <w:name w:val="Title"/>
    <w:basedOn w:val="Normal"/>
    <w:next w:val="Normal"/>
    <w:link w:val="TitleChar"/>
    <w:uiPriority w:val="10"/>
    <w:qFormat w:val="1"/>
    <w:rsid w:val="00393167"/>
    <w:pPr>
      <w:spacing w:after="0"/>
      <w:ind w:left="10" w:hanging="1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393167"/>
    <w:rPr>
      <w:rFonts w:asciiTheme="majorHAnsi" w:cstheme="majorBidi" w:eastAsiaTheme="majorEastAsia" w:hAnsiTheme="majorHAnsi"/>
      <w:spacing w:val="-10"/>
      <w:kern w:val="28"/>
      <w:sz w:val="56"/>
      <w:szCs w:val="56"/>
    </w:rPr>
  </w:style>
  <w:style w:type="character" w:styleId="HTMLSample">
    <w:name w:val="HTML Sample"/>
    <w:basedOn w:val="DefaultParagraphFont"/>
    <w:uiPriority w:val="99"/>
    <w:semiHidden w:val="1"/>
    <w:unhideWhenUsed w:val="1"/>
    <w:rsid w:val="00393167"/>
    <w:rPr>
      <w:rFonts w:ascii="Courier New" w:cs="Courier New" w:eastAsia="Times New Roman" w:hAnsi="Courier New"/>
    </w:rPr>
  </w:style>
  <w:style w:type="paragraph" w:styleId="Compact" w:customStyle="1">
    <w:name w:val="Compact"/>
    <w:basedOn w:val="BodyText"/>
    <w:qFormat w:val="1"/>
    <w:rsid w:val="00393167"/>
    <w:pPr>
      <w:spacing w:after="36" w:before="36" w:line="240" w:lineRule="auto"/>
      <w:ind w:left="0" w:firstLine="0"/>
    </w:pPr>
    <w:rPr>
      <w:rFonts w:cstheme="minorBidi" w:eastAsiaTheme="minorHAnsi"/>
      <w:color w:val="auto"/>
      <w:sz w:val="24"/>
      <w:szCs w:val="24"/>
    </w:rPr>
  </w:style>
  <w:style w:type="character" w:styleId="VerbatimChar" w:customStyle="1">
    <w:name w:val="Verbatim Char"/>
    <w:basedOn w:val="DefaultParagraphFont"/>
    <w:link w:val="SourceCode"/>
    <w:rsid w:val="00393167"/>
    <w:rPr>
      <w:rFonts w:ascii="Consolas" w:hAnsi="Consolas"/>
    </w:rPr>
  </w:style>
  <w:style w:type="paragraph" w:styleId="SourceCode" w:customStyle="1">
    <w:name w:val="Source Code"/>
    <w:basedOn w:val="Normal"/>
    <w:link w:val="VerbatimChar"/>
    <w:rsid w:val="00393167"/>
    <w:pPr>
      <w:wordWrap w:val="0"/>
      <w:spacing w:after="200"/>
    </w:pPr>
    <w:rPr>
      <w:rFonts w:ascii="Consolas" w:hAnsi="Consolas"/>
    </w:rPr>
  </w:style>
  <w:style w:type="character" w:styleId="keyword" w:customStyle="1">
    <w:name w:val="keyword"/>
    <w:basedOn w:val="DefaultParagraphFont"/>
    <w:rsid w:val="00393167"/>
  </w:style>
  <w:style w:type="character" w:styleId="ph" w:customStyle="1">
    <w:name w:val="ph"/>
    <w:basedOn w:val="DefaultParagraphFont"/>
    <w:rsid w:val="00393167"/>
  </w:style>
  <w:style w:type="character" w:styleId="figtitleprefix" w:customStyle="1">
    <w:name w:val="figtitleprefix"/>
    <w:basedOn w:val="DefaultParagraphFont"/>
    <w:rsid w:val="00393167"/>
  </w:style>
  <w:style w:type="character" w:styleId="Emphasis">
    <w:name w:val="Emphasis"/>
    <w:basedOn w:val="DefaultParagraphFont"/>
    <w:uiPriority w:val="20"/>
    <w:qFormat w:val="1"/>
    <w:rsid w:val="00393167"/>
    <w:rPr>
      <w:i w:val="1"/>
      <w:iCs w:val="1"/>
    </w:rPr>
  </w:style>
  <w:style w:type="paragraph" w:styleId="TOC4">
    <w:name w:val="toc 4"/>
    <w:basedOn w:val="Normal"/>
    <w:next w:val="Normal"/>
    <w:autoRedefine w:val="1"/>
    <w:uiPriority w:val="39"/>
    <w:unhideWhenUsed w:val="1"/>
    <w:rsid w:val="00B95832"/>
    <w:pPr>
      <w:spacing w:after="100"/>
      <w:ind w:left="660"/>
    </w:pPr>
    <w:rPr>
      <w:rFonts w:cstheme="minorBidi" w:eastAsiaTheme="minorEastAsia" w:hAnsiTheme="minorHAnsi"/>
    </w:rPr>
  </w:style>
  <w:style w:type="paragraph" w:styleId="TOC5">
    <w:name w:val="toc 5"/>
    <w:basedOn w:val="Normal"/>
    <w:next w:val="Normal"/>
    <w:autoRedefine w:val="1"/>
    <w:uiPriority w:val="39"/>
    <w:unhideWhenUsed w:val="1"/>
    <w:rsid w:val="00B95832"/>
    <w:pPr>
      <w:spacing w:after="100"/>
      <w:ind w:left="880"/>
    </w:pPr>
    <w:rPr>
      <w:rFonts w:cstheme="minorBidi" w:eastAsiaTheme="minorEastAsia" w:hAnsiTheme="minorHAnsi"/>
    </w:rPr>
  </w:style>
  <w:style w:type="paragraph" w:styleId="TOC6">
    <w:name w:val="toc 6"/>
    <w:basedOn w:val="Normal"/>
    <w:next w:val="Normal"/>
    <w:autoRedefine w:val="1"/>
    <w:uiPriority w:val="39"/>
    <w:unhideWhenUsed w:val="1"/>
    <w:rsid w:val="00B95832"/>
    <w:pPr>
      <w:spacing w:after="100"/>
      <w:ind w:left="1100"/>
    </w:pPr>
    <w:rPr>
      <w:rFonts w:cstheme="minorBidi" w:eastAsiaTheme="minorEastAsia" w:hAnsiTheme="minorHAnsi"/>
    </w:rPr>
  </w:style>
  <w:style w:type="paragraph" w:styleId="TOC7">
    <w:name w:val="toc 7"/>
    <w:basedOn w:val="Normal"/>
    <w:next w:val="Normal"/>
    <w:autoRedefine w:val="1"/>
    <w:uiPriority w:val="39"/>
    <w:unhideWhenUsed w:val="1"/>
    <w:rsid w:val="00B95832"/>
    <w:pPr>
      <w:spacing w:after="100"/>
      <w:ind w:left="1320"/>
    </w:pPr>
    <w:rPr>
      <w:rFonts w:cstheme="minorBidi" w:eastAsiaTheme="minorEastAsia" w:hAnsiTheme="minorHAnsi"/>
    </w:rPr>
  </w:style>
  <w:style w:type="paragraph" w:styleId="TOC8">
    <w:name w:val="toc 8"/>
    <w:basedOn w:val="Normal"/>
    <w:next w:val="Normal"/>
    <w:autoRedefine w:val="1"/>
    <w:uiPriority w:val="39"/>
    <w:unhideWhenUsed w:val="1"/>
    <w:rsid w:val="00B95832"/>
    <w:pPr>
      <w:spacing w:after="100"/>
      <w:ind w:left="1540"/>
    </w:pPr>
    <w:rPr>
      <w:rFonts w:cstheme="minorBidi" w:eastAsiaTheme="minorEastAsia" w:hAnsiTheme="minorHAnsi"/>
    </w:rPr>
  </w:style>
  <w:style w:type="paragraph" w:styleId="TOC9">
    <w:name w:val="toc 9"/>
    <w:basedOn w:val="Normal"/>
    <w:next w:val="Normal"/>
    <w:autoRedefine w:val="1"/>
    <w:uiPriority w:val="39"/>
    <w:unhideWhenUsed w:val="1"/>
    <w:rsid w:val="00B95832"/>
    <w:pPr>
      <w:spacing w:after="100"/>
      <w:ind w:left="1760"/>
    </w:pPr>
    <w:rPr>
      <w:rFonts w:cstheme="minorBidi" w:eastAsiaTheme="minorEastAsia" w:hAnsiTheme="minorHAnsi"/>
    </w:rPr>
  </w:style>
  <w:style w:type="character" w:styleId="Mention">
    <w:name w:val="Mention"/>
    <w:basedOn w:val="DefaultParagraphFont"/>
    <w:uiPriority w:val="99"/>
    <w:semiHidden w:val="1"/>
    <w:unhideWhenUsed w:val="1"/>
    <w:rsid w:val="0081156E"/>
    <w:rPr>
      <w:color w:val="2b579a"/>
      <w:shd w:color="auto" w:fill="e6e6e6" w:val="clear"/>
    </w:rPr>
  </w:style>
  <w:style w:type="character" w:styleId="UnresolvedMention2" w:customStyle="1">
    <w:name w:val="Unresolved Mention2"/>
    <w:basedOn w:val="DefaultParagraphFont"/>
    <w:uiPriority w:val="99"/>
    <w:semiHidden w:val="1"/>
    <w:unhideWhenUsed w:val="1"/>
    <w:rsid w:val="008C3E44"/>
    <w:rPr>
      <w:color w:val="605e5c"/>
      <w:shd w:color="auto" w:fill="e1dfdd" w:val="clear"/>
    </w:rPr>
  </w:style>
  <w:style w:type="paragraph" w:styleId="HTMLPreformatted">
    <w:name w:val="HTML Preformatted"/>
    <w:basedOn w:val="Normal"/>
    <w:link w:val="HTMLPreformattedChar"/>
    <w:uiPriority w:val="99"/>
    <w:semiHidden w:val="1"/>
    <w:unhideWhenUsed w:val="1"/>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cs="Courier New" w:hAnsi="Courier New"/>
      <w:sz w:val="20"/>
      <w:szCs w:val="20"/>
    </w:rPr>
  </w:style>
  <w:style w:type="character" w:styleId="HTMLPreformattedChar" w:customStyle="1">
    <w:name w:val="HTML Preformatted Char"/>
    <w:basedOn w:val="DefaultParagraphFont"/>
    <w:link w:val="HTMLPreformatted"/>
    <w:uiPriority w:val="99"/>
    <w:semiHidden w:val="1"/>
    <w:rsid w:val="00D569A5"/>
    <w:rPr>
      <w:rFonts w:ascii="Courier New" w:cs="Courier New" w:hAnsi="Courier New"/>
      <w:sz w:val="20"/>
      <w:szCs w:val="20"/>
    </w:rPr>
  </w:style>
  <w:style w:type="character" w:styleId="HTMLCode">
    <w:name w:val="HTML Code"/>
    <w:basedOn w:val="DefaultParagraphFont"/>
    <w:uiPriority w:val="99"/>
    <w:semiHidden w:val="1"/>
    <w:unhideWhenUsed w:val="1"/>
    <w:rsid w:val="00D569A5"/>
    <w:rPr>
      <w:rFonts w:ascii="Courier New" w:cs="Courier New" w:eastAsia="Times New Roman" w:hAnsi="Courier New"/>
      <w:sz w:val="20"/>
      <w:szCs w:val="20"/>
    </w:rPr>
  </w:style>
  <w:style w:type="character" w:styleId="UnresolvedMention">
    <w:name w:val="Unresolved Mention"/>
    <w:basedOn w:val="DefaultParagraphFont"/>
    <w:uiPriority w:val="99"/>
    <w:semiHidden w:val="1"/>
    <w:unhideWhenUsed w:val="1"/>
    <w:rsid w:val="005D32C7"/>
    <w:rPr>
      <w:color w:val="605e5c"/>
      <w:shd w:color="auto" w:fill="e1dfdd" w:val="clear"/>
    </w:rPr>
  </w:style>
  <w:style w:type="table" w:styleId="TableGrid">
    <w:name w:val="Table Grid"/>
    <w:basedOn w:val="TableNormal"/>
    <w:uiPriority w:val="39"/>
    <w:rsid w:val="00E86349"/>
    <w:pPr>
      <w:spacing w:after="0" w:before="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5.png"/><Relationship Id="rId20" Type="http://schemas.openxmlformats.org/officeDocument/2006/relationships/image" Target="media/image12.png"/><Relationship Id="rId42" Type="http://schemas.openxmlformats.org/officeDocument/2006/relationships/footer" Target="footer4.xml"/><Relationship Id="rId41" Type="http://schemas.openxmlformats.org/officeDocument/2006/relationships/image" Target="media/image5.png"/><Relationship Id="rId22" Type="http://schemas.openxmlformats.org/officeDocument/2006/relationships/image" Target="media/image9.jpg"/><Relationship Id="rId21" Type="http://schemas.openxmlformats.org/officeDocument/2006/relationships/image" Target="media/image23.png"/><Relationship Id="rId43" Type="http://schemas.openxmlformats.org/officeDocument/2006/relationships/footer" Target="footer3.xml"/><Relationship Id="rId24" Type="http://schemas.openxmlformats.org/officeDocument/2006/relationships/image" Target="media/image15.png"/><Relationship Id="rId23" Type="http://schemas.openxmlformats.org/officeDocument/2006/relationships/image" Target="media/image11.png"/><Relationship Id="rId1" Type="http://schemas.openxmlformats.org/officeDocument/2006/relationships/image" Target="media/image1.emf"/><Relationship Id="rId2" Type="http://schemas.openxmlformats.org/officeDocument/2006/relationships/package" Target="embeddings/Microsoft_Office_Word_Document1.docx"/><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4.png"/><Relationship Id="rId25" Type="http://schemas.openxmlformats.org/officeDocument/2006/relationships/image" Target="media/image16.png"/><Relationship Id="rId28" Type="http://schemas.openxmlformats.org/officeDocument/2006/relationships/image" Target="media/image17.png"/><Relationship Id="rId27" Type="http://schemas.openxmlformats.org/officeDocument/2006/relationships/image" Target="media/image22.png"/><Relationship Id="rId5" Type="http://schemas.openxmlformats.org/officeDocument/2006/relationships/fontTable" Target="fontTable.xml"/><Relationship Id="rId6" Type="http://schemas.openxmlformats.org/officeDocument/2006/relationships/numbering" Target="numbering.xml"/><Relationship Id="rId29" Type="http://schemas.openxmlformats.org/officeDocument/2006/relationships/image" Target="media/image26.png"/><Relationship Id="rId7" Type="http://schemas.openxmlformats.org/officeDocument/2006/relationships/styles" Target="styles.xml"/><Relationship Id="rId8" Type="http://schemas.openxmlformats.org/officeDocument/2006/relationships/customXml" Target="../customXML/item1.xml"/><Relationship Id="rId31" Type="http://schemas.openxmlformats.org/officeDocument/2006/relationships/image" Target="media/image24.png"/><Relationship Id="rId30" Type="http://schemas.openxmlformats.org/officeDocument/2006/relationships/image" Target="media/image19.png"/><Relationship Id="rId11" Type="http://schemas.openxmlformats.org/officeDocument/2006/relationships/image" Target="media/image4.png"/><Relationship Id="rId33" Type="http://schemas.openxmlformats.org/officeDocument/2006/relationships/image" Target="media/image6.png"/><Relationship Id="rId10" Type="http://schemas.openxmlformats.org/officeDocument/2006/relationships/footer" Target="footer1.xml"/><Relationship Id="rId32" Type="http://schemas.openxmlformats.org/officeDocument/2006/relationships/image" Target="media/image29.png"/><Relationship Id="rId13" Type="http://schemas.openxmlformats.org/officeDocument/2006/relationships/image" Target="media/image2.png"/><Relationship Id="rId35" Type="http://schemas.openxmlformats.org/officeDocument/2006/relationships/hyperlink" Target="https://help.hcltechsw.com/bigfix/10.0/platform/Platform/Installation/c_cdt_prereqs.html" TargetMode="External"/><Relationship Id="rId12" Type="http://schemas.openxmlformats.org/officeDocument/2006/relationships/hyperlink" Target="http://www.bigfix.com" TargetMode="External"/><Relationship Id="rId34" Type="http://schemas.openxmlformats.org/officeDocument/2006/relationships/image" Target="media/image27.png"/><Relationship Id="rId15" Type="http://schemas.openxmlformats.org/officeDocument/2006/relationships/image" Target="media/image10.png"/><Relationship Id="rId37" Type="http://schemas.openxmlformats.org/officeDocument/2006/relationships/image" Target="media/image3.png"/><Relationship Id="rId14" Type="http://schemas.openxmlformats.org/officeDocument/2006/relationships/hyperlink" Target="http://www.skytap.com" TargetMode="External"/><Relationship Id="rId36" Type="http://schemas.openxmlformats.org/officeDocument/2006/relationships/image" Target="media/image8.png"/><Relationship Id="rId17" Type="http://schemas.openxmlformats.org/officeDocument/2006/relationships/image" Target="media/image28.png"/><Relationship Id="rId39" Type="http://schemas.openxmlformats.org/officeDocument/2006/relationships/image" Target="media/image7.png"/><Relationship Id="rId16" Type="http://schemas.openxmlformats.org/officeDocument/2006/relationships/image" Target="media/image21.png"/><Relationship Id="rId38" Type="http://schemas.openxmlformats.org/officeDocument/2006/relationships/image" Target="media/image20.jpg"/><Relationship Id="rId19" Type="http://schemas.openxmlformats.org/officeDocument/2006/relationships/image" Target="media/image13.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2021-06-30T17:32:00Z</dcterms:created>
  <dc:creator>James Leaphart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