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nalysisModuleLabel"/>
        <w:pageBreakBefore w:val="0"/>
      </w:pPr>
      <w:r>
        <w:t>TECHNICAL EVIDENCE</w:t>
      </w:r>
    </w:p>
    <w:p>
      <w:pPr>
        <w:pStyle w:val="AnalysisModuleTitle"/>
        <w:keepNext/>
        <w:keepLines/>
      </w:pPr>
      <w:r>
        <w:rPr>
          <w:rFonts w:ascii="HCLTech Roobert" w:hAnsi="HCLTech Roobert" w:cs="HCLTech Roobert" w:eastAsia="HCLTech Roobert"/>
        </w:rPr>
        <w:t>FillDB Performance Analysis</w:t>
      </w:r>
    </w:p>
    <w:p>
      <w:pPr>
        <w:keepLines/>
      </w:pPr>
      <w:r>
        <w:rPr>
          <w:rFonts w:ascii="Aptos" w:hAnsi="Aptos" w:cs="Aptos" w:eastAsia="Aptos"/>
        </w:rPr>
        <w:t>This analysis covers a FillDB capture from 11-16-2025 02:56 to 11-17-2025 15:57. The analyzer processed 4,237,218 lines. FillDB writes no Excel. The source CSV is saved beside this Mini Report.</w:t>
      </w:r>
    </w:p>
    <w:p>
      <w:pPr>
        <w:keepLines/>
        <w:jc w:val="center"/>
      </w:pPr>
      <w:r>
        <w:rPr>
          <w:rFonts w:ascii="Aptos" w:hAnsi="Aptos" w:cs="Aptos" w:eastAsia="Aptos"/>
        </w:rPr>
        <w:drawing>
          <wp:inline xmlns:a="http://schemas.openxmlformats.org/drawingml/2006/main" xmlns:pic="http://schemas.openxmlformats.org/drawingml/2006/picture">
            <wp:extent cx="6858000" cy="5391912"/>
            <wp:docPr id="1" name="FillDB Performance Chart" descr="FillDB performance chart showing health score, status distribution, and workload by object." title="FillDB performance chart showing health score, status distribution, and workload by obj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DB Performance Chart" descr="FillDB performance chart showing health score, status distribution, and workload by obj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9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  <w:pageBreakBefore/>
        <w:spacing w:before="0"/>
      </w:pPr>
      <w:r>
        <w:rPr>
          <w:rFonts w:ascii="Aptos" w:hAnsi="Aptos" w:cs="Aptos" w:eastAsia="Aptos"/>
        </w:rPr>
        <w:t>How This Score Is Calculated</w:t>
      </w:r>
    </w:p>
    <w:p>
      <w:pPr>
        <w:keepNext/>
        <w:keepLines/>
        <w:spacing w:after="60"/>
      </w:pPr>
      <w:r>
        <w:rPr>
          <w:rFonts w:ascii="Aptos" w:hAnsi="Aptos" w:cs="Aptos" w:eastAsia="Aptos"/>
        </w:rPr>
        <w:t>The FillDB Health Score is based on the share of the guide's FillDB checks that meet the standard:</w:t>
      </w:r>
    </w:p>
    <w:p>
      <w:pPr>
        <w:keepNext/>
        <w:keepLines/>
        <w:spacing w:after="20"/>
      </w:pPr>
      <w:r>
        <w:rPr>
          <w:rFonts w:ascii="Aptos" w:hAnsi="Aptos" w:cs="Aptos" w:eastAsia="Aptos"/>
        </w:rPr>
        <w:t>- Great or Good: 100 points</w:t>
      </w:r>
    </w:p>
    <w:p>
      <w:pPr>
        <w:keepNext/>
        <w:keepLines/>
        <w:spacing w:after="20"/>
      </w:pPr>
      <w:r>
        <w:rPr>
          <w:rFonts w:ascii="Aptos" w:hAnsi="Aptos" w:cs="Aptos" w:eastAsia="Aptos"/>
        </w:rPr>
        <w:t>- Poor: 0 points</w:t>
      </w:r>
    </w:p>
    <w:p>
      <w:pPr>
        <w:keepNext/>
        <w:keepLines/>
        <w:spacing w:after="60"/>
      </w:pPr>
      <w:r>
        <w:rPr>
          <w:rFonts w:ascii="Aptos" w:hAnsi="Aptos" w:cs="Aptos" w:eastAsia="Aptos"/>
        </w:rPr>
        <w:t>The score covers the four checks named in PRF-BIG-30 FillDB Health Check (BigFix Non-Functional Requirements: A Checklist Approach, version 11.x.4, page 25): Parallel DB Update (Short Batch), Parallel DB Update, Batch Rate and Parallel Parsing. The guide says each should have a health check of Good or Great.</w:t>
      </w:r>
    </w:p>
    <w:p>
      <w:pPr>
        <w:keepNext/>
        <w:keepLines/>
        <w:spacing w:after="60"/>
      </w:pPr>
      <w:r>
        <w:rPr>
          <w:rFonts w:ascii="Aptos" w:hAnsi="Aptos" w:cs="Aptos" w:eastAsia="Aptos"/>
        </w:rPr>
        <w:t>Formula: (Great + Good) / assessed checks x 100</w:t>
      </w:r>
    </w:p>
    <w:p>
      <w:pPr>
        <w:keepNext/>
        <w:keepLines/>
        <w:spacing w:after="60"/>
      </w:pPr>
      <w:r>
        <w:rPr>
          <w:rFonts w:ascii="Aptos" w:hAnsi="Aptos" w:cs="Aptos" w:eastAsia="Aptos"/>
        </w:rPr>
        <w:t>This score covers the FillDB capture only.</w:t>
      </w:r>
    </w:p>
    <w:p>
      <w:pPr>
        <w:keepNext/>
        <w:keepLines/>
        <w:spacing w:after="60"/>
      </w:pPr>
      <w:r>
        <w:rPr>
          <w:rFonts w:ascii="Aptos" w:hAnsi="Aptos" w:cs="Aptos" w:eastAsia="Aptos"/>
        </w:rPr>
        <w:t>Other objects and checks without a recognized Health Check result are shown for context but are not included in the score.</w:t>
      </w:r>
    </w:p>
    <w:p>
      <w:pPr>
        <w:keepNext w:val="0"/>
        <w:keepLines/>
        <w:spacing w:after="60"/>
      </w:pPr>
      <w:r>
        <w:rPr>
          <w:rFonts w:ascii="Aptos" w:hAnsi="Aptos" w:cs="Aptos" w:eastAsia="Aptos"/>
        </w:rPr>
        <w:t>Score ranges: 90 to 100 is Healthy, 70 to 89 is Needs Attention and 0 to 69 is Critical.</w:t>
      </w:r>
    </w:p>
    <w:p>
      <w:pPr>
        <w:keepLines/>
      </w:pPr>
      <w:r>
        <w:rPr>
          <w:rFonts w:ascii="Aptos" w:hAnsi="Aptos" w:cs="Aptos" w:eastAsia="Aptos"/>
        </w:rPr>
        <w:t>The analyzer rates 10 objects Great, 1 Good and 1 Poor. 3 objects had too little data to rate. Parallel DB Update (Short Batch) takes the most time at 50.5 minutes. The score covers 3 of the 4 checks named in the NFR guide. The other 1 had too little data. The Workload by Object chart in the Infographic shows the time for every object.</w:t>
      </w:r>
    </w:p>
    <w:p>
      <w:pPr>
        <w:keepLines/>
        <w:spacing w:after="160"/>
      </w:pPr>
    </w:p>
    <w:p>
      <w:pPr>
        <w:pStyle w:val="Heading3"/>
        <w:keepNext/>
        <w:keepLines/>
        <w:pageBreakBefore w:val="0"/>
        <w:spacing w:before="160"/>
      </w:pPr>
      <w:r>
        <w:rPr>
          <w:rFonts w:ascii="Aptos" w:hAnsi="Aptos" w:cs="Aptos" w:eastAsia="Aptos"/>
        </w:rPr>
        <w:t>FillDB Objects</w:t>
      </w:r>
    </w:p>
    <w:p>
      <w:pPr>
        <w:keepNext/>
        <w:keepLines/>
      </w:pPr>
      <w:r>
        <w:rPr>
          <w:rFonts w:ascii="Aptos" w:hAnsi="Aptos" w:cs="Aptos" w:eastAsia="Aptos"/>
        </w:rPr>
        <w:t>Health Check is the analyzer's own rating, shown as the analyzer writes it. Rows marked Not enough data are left out of the score.</w:t>
      </w:r>
    </w:p>
    <w:tbl>
      <w:tblPr>
        <w:tblStyle w:val="BigFixContent"/>
        <w:tblW w:type="dxa" w:w="10800"/>
        <w:jc w:val="left"/>
        <w:tblInd w:w="0" w:type="dxa"/>
        <w:tblLayout w:type="fixed"/>
        <w:tblLook w:firstColumn="1" w:firstRow="1" w:lastColumn="0" w:lastRow="0" w:noHBand="0" w:noVBand="1" w:val="04A0"/>
      </w:tblPr>
      <w:tblGrid>
        <w:gridCol w:w="3270"/>
        <w:gridCol w:w="1490"/>
        <w:gridCol w:w="1390"/>
        <w:gridCol w:w="1220"/>
        <w:gridCol w:w="3430"/>
      </w:tblGrid>
      <w:tr>
        <w:trPr>
          <w:tblHeader/>
          <w:cantSplit w:val="1"/>
          <w:jc w:val="left"/>
        </w:trPr>
        <w:tc>
          <w:tcPr>
            <w:tcW w:type="dxa" w:w="3270"/>
            <w:vAlign w:val="center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FillDB Object</w:t>
            </w:r>
          </w:p>
        </w:tc>
        <w:tc>
          <w:tcPr>
            <w:tcW w:type="dxa" w:w="1490"/>
            <w:vAlign w:val="center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Count</w:t>
            </w:r>
          </w:p>
        </w:tc>
        <w:tc>
          <w:tcPr>
            <w:tcW w:type="dxa" w:w="1390"/>
            <w:vAlign w:val="center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Time (ms)</w:t>
            </w:r>
          </w:p>
        </w:tc>
        <w:tc>
          <w:tcPr>
            <w:tcW w:type="dxa" w:w="1220"/>
            <w:vAlign w:val="center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Rate/s</w:t>
            </w:r>
          </w:p>
        </w:tc>
        <w:tc>
          <w:tcPr>
            <w:tcW w:type="dxa" w:w="3430"/>
            <w:vAlign w:val="center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Health Check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Fixlet Results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1,021,932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439,062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2,328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093%: Good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Action Results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88,953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49,436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1,799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360%: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Short Property Results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15,491,643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1,417,112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10,932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2186%: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Long Property Results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1,822,795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1,304,706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1,397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140%: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Computer Administrators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601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8,906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67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C2410C"/>
                <w:sz w:val="21"/>
              </w:rPr>
              <w:t>004%: Poor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Computer Roles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19,879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5,062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3,927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393%: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Computer Sequences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1,496,322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17,405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85,971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8597%: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Computer Properties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1,496,271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1,071,013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1,397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140%: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Computer Sites Subscription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1,243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217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5,728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----: Not enough data.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Computer Relay Statuses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77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45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1,711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----: Not enough data.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Dynamic Computer Groups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1,982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382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5,188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519%: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Parallel DB Update (Short Batch)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1,496,466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3,031,912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494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988%: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Parallel DB Update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0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0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0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----: Not enough data.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Batch Rate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1,496,466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3,031,912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494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988%: Great</w:t>
            </w:r>
          </w:p>
        </w:tc>
      </w:tr>
      <w:tr>
        <w:trPr>
          <w:cantSplit/>
        </w:trPr>
        <w:tc>
          <w:tcPr>
            <w:tcW w:type="dxa" w:w="3270"/>
            <w:vAlign w:val="center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Parallel Parsing</w:t>
            </w:r>
          </w:p>
        </w:tc>
        <w:tc>
          <w:tcPr>
            <w:tcW w:type="dxa" w:w="1490"/>
            <w:vAlign w:val="center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1,496,466</w:t>
            </w:r>
          </w:p>
        </w:tc>
        <w:tc>
          <w:tcPr>
            <w:tcW w:type="dxa" w:w="1390"/>
            <w:vAlign w:val="center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1,267,825</w:t>
            </w:r>
          </w:p>
        </w:tc>
        <w:tc>
          <w:tcPr>
            <w:tcW w:type="dxa" w:w="1220"/>
            <w:vAlign w:val="center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righ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1,180</w:t>
            </w:r>
          </w:p>
        </w:tc>
        <w:tc>
          <w:tcPr>
            <w:tcW w:type="dxa" w:w="3430"/>
            <w:vAlign w:val="center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color w:val="187A43"/>
                <w:sz w:val="21"/>
              </w:rPr>
              <w:t>236%: Great</w:t>
            </w:r>
          </w:p>
        </w:tc>
      </w:tr>
    </w:tbl>
    <w:p>
      <w:pPr>
        <w:pStyle w:val="Heading3"/>
        <w:keepNext/>
        <w:keepLines/>
        <w:pageBreakBefore w:val="0"/>
        <w:spacing/>
      </w:pPr>
      <w:r>
        <w:rPr>
          <w:rFonts w:ascii="Aptos" w:hAnsi="Aptos" w:cs="Aptos" w:eastAsia="Aptos"/>
        </w:rPr>
        <w:t>Capture Summary</w:t>
      </w:r>
    </w:p>
    <w:p>
      <w:pPr>
        <w:keepNext/>
        <w:keepLines/>
      </w:pPr>
      <w:r>
        <w:rPr>
          <w:rFonts w:ascii="Aptos" w:hAnsi="Aptos" w:cs="Aptos" w:eastAsia="Aptos"/>
        </w:rPr>
        <w:t>Duration (s) and Throughput (lines/s) are the analyzer's own run time and speed. They are not FillDB times.</w:t>
      </w:r>
    </w:p>
    <w:tbl>
      <w:tblPr>
        <w:tblStyle w:val="BigFixContent"/>
        <w:tblW w:type="dxa" w:w="10800"/>
        <w:jc w:val="left"/>
        <w:tblInd w:w="0" w:type="dxa"/>
        <w:tblLayout w:type="fixed"/>
        <w:tblLook w:firstColumn="1" w:firstRow="1" w:lastColumn="0" w:lastRow="0" w:noHBand="0" w:noVBand="1" w:val="04A0"/>
      </w:tblPr>
      <w:tblGrid>
        <w:gridCol w:w="6980"/>
        <w:gridCol w:w="3820"/>
      </w:tblGrid>
      <w:tr>
        <w:trPr>
          <w:tblHeader/>
          <w:cantSplit w:val="1"/>
          <w:jc w:val="left"/>
        </w:trPr>
        <w:tc>
          <w:tcPr>
            <w:tcW w:type="dxa" w:w="6980"/>
            <w:vAlign w:val="center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Statistic</w:t>
            </w:r>
          </w:p>
        </w:tc>
        <w:tc>
          <w:tcPr>
            <w:tcW w:type="dxa" w:w="3820"/>
            <w:vAlign w:val="center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Value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Report Generated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10-21-2026 11:02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Collection Start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11-16-2025 02:56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Collection End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11-17-2025 15:57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Capture Duration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 day, 13 hours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Lines Processed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4,237,218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Duration (s)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68.54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Throughput (lines/s)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61,821.1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FillDB Duration (hh:mm:ss)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1 day, 13:00:56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FillDB Parsing Threads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6980"/>
            <w:vAlign w:val="center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/>
                <w:sz w:val="21"/>
              </w:rPr>
              <w:t>FillDB Database Threads</w:t>
            </w:r>
          </w:p>
        </w:tc>
        <w:tc>
          <w:tcPr>
            <w:tcW w:type="dxa" w:w="3820"/>
            <w:vAlign w:val="center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3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CLTech Roobert">
    <w:panose1 w:val="00000000000000000000"/>
    <w:charset w:val="00"/>
    <w:family w:val="modern"/>
    <w:notTrueType/>
    <w:pitch w:val="variable"/>
    <w:sig w:usb0="A10000FF" w:usb1="0000607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CLTech Roobert ExtraBold">
    <w:panose1 w:val="00000000000000000000"/>
    <w:charset w:val="00"/>
    <w:family w:val="modern"/>
    <w:notTrueType/>
    <w:pitch w:val="variable"/>
    <w:sig w:usb0="A10000FF" w:usb1="000060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CLTech Roobert Light">
    <w:panose1 w:val="00000000000000000000"/>
    <w:charset w:val="00"/>
    <w:family w:val="modern"/>
    <w:notTrueType/>
    <w:pitch w:val="variable"/>
    <w:sig w:usb0="A10000FF" w:usb1="0000607B" w:usb2="00000000" w:usb3="00000000" w:csb0="00000093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CLTech Roobert Medium">
    <w:panose1 w:val="00000000000000000000"/>
    <w:charset w:val="00"/>
    <w:family w:val="modern"/>
    <w:notTrueType/>
    <w:pitch w:val="variable"/>
    <w:sig w:usb0="A10000FF" w:usb1="0000607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NavigationFooter"/>
      <w:tabs>
        <w:tab w:pos="10800" w:val="right"/>
      </w:tabs>
    </w:pPr>
    <w:r>
      <w:t>FillDB</w:t>
      <w:tab/>
    </w:r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ptos" w:hAnsi="Aptos" w:cs="Aptos" w:eastAsia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cs="Aptos" w:eastAsia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cs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cs="Aptos" w:eastAsia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 w:cs="Aptos" w:eastAsia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igFixContent">
    <w:name w:val="BigFix Content"/>
    <w:basedOn w:val="TableNormal"/>
    <w:uiPriority w:val="49"/>
    <w:pPr>
      <w:spacing w:before="80" w:after="80"/>
    </w:pPr>
    <w:rPr>
      <w:rFonts w:ascii="Aptos" w:hAnsi="Aptos" w:cs="Aptos"/>
    </w:rPr>
    <w:tblPr>
      <w:tblStyleRowBandSize w:val="1"/>
      <w:tblBorders>
        <w:top w:val="single" w:sz="6" w:space="0" w:color="E3E9F1"/>
        <w:left w:val="single" w:sz="6" w:space="0" w:color="E3E9F1"/>
        <w:bottom w:val="single" w:sz="6" w:space="0" w:color="E3E9F1"/>
        <w:right w:val="single" w:sz="6" w:space="0" w:color="E3E9F1"/>
        <w:insideH w:val="single" w:sz="6" w:space="0" w:color="E3E9F1"/>
        <w:insideV w:val="nil"/>
      </w:tblBorders>
      <w:tblCellMar>
        <w:top w:w="40" w:type="dxa"/>
        <w:left w:w="113" w:type="dxa"/>
        <w:bottom w:w="40" w:type="dxa"/>
        <w:right w:w="113" w:type="dxa"/>
      </w:tblCellMar>
    </w:tblPr>
    <w:trPr>
      <w:cantSplit/>
    </w:trPr>
    <w:tcPr>
      <w:vAlign w:val="center"/>
    </w:tcPr>
    <w:tblStylePr w:type="firstRow">
      <w:pPr>
        <w:wordWrap/>
        <w:spacing w:before="80" w:after="80" w:line="240" w:lineRule="auto"/>
        <w:jc w:val="left"/>
      </w:pPr>
      <w:rPr>
        <w:rFonts w:ascii="Aptos" w:hAnsi="Aptos" w:cs="Aptos"/>
        <w:b/>
        <w:bCs/>
        <w:color w:val="FFFFFF"/>
        <w:sz w:val="22"/>
      </w:rPr>
      <w:tblPr>
        <w:jc w:val="center"/>
      </w:tblPr>
      <w:trPr>
        <w:cantSplit w:val="0"/>
        <w:tblHeader/>
        <w:jc w:val="center"/>
      </w:trPr>
      <w:tcPr>
        <w:shd w:val="clear" w:color="auto" w:fill="0B1640"/>
      </w:tcPr>
    </w:tblStylePr>
    <w:tblStylePr w:type="firstCol">
      <w:pPr>
        <w:jc w:val="left"/>
      </w:pPr>
      <w:tblPr/>
      <w:tcPr>
        <w:vAlign w:val="center"/>
      </w:tcPr>
    </w:tblStylePr>
    <w:tblStylePr w:type="band1Horz">
      <w:rPr>
        <w:rFonts w:ascii="Aptos" w:hAnsi="Aptos" w:cs="Aptos"/>
        <w:color w:val="auto"/>
        <w:sz w:val="22"/>
      </w:rPr>
      <w:tblPr/>
      <w:tcPr>
        <w:shd w:val="clear" w:color="auto" w:fill="F4F7FB"/>
      </w:tcPr>
    </w:tblStylePr>
    <w:tblStylePr w:type="band2Horz">
      <w:rPr>
        <w:rFonts w:ascii="Aptos" w:hAnsi="Aptos" w:cs="Aptos"/>
        <w:color w:val="auto"/>
        <w:sz w:val="22"/>
      </w:rPr>
      <w:tblPr/>
      <w:tcPr>
        <w:shd w:val="clear" w:color="auto" w:fill="FFFFFF"/>
      </w:tcPr>
    </w:tblStylePr>
  </w:style>
  <w:style w:type="paragraph" w:default="1" w:styleId="Normal">
    <w:name w:val="Normal"/>
    <w:qFormat/>
    <w:rsid w:val="00FE535C"/>
    <w:pPr>
      <w:spacing w:before="0" w:after="140" w:line="264" w:lineRule="auto"/>
    </w:pPr>
    <w:rPr>
      <w:rFonts w:ascii="Aptos" w:hAnsi="Aptos" w:cs="Aptos" w:eastAsia="Aptos"/>
      <w:b w:val="0"/>
      <w:color w:val="000032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D6CDB"/>
    <w:pPr>
      <w:keepNext/>
      <w:keepLines/>
      <w:spacing w:before="320" w:after="160" w:line="264" w:lineRule="auto"/>
      <w:ind w:left="0" w:firstLine="0"/>
      <w:outlineLvl w:val="0"/>
    </w:pPr>
    <w:rPr>
      <w:rFonts w:ascii="HCLTech Roobert" w:hAnsi="HCLTech Roobert" w:cs="HCLTech Roobert" w:eastAsia="HCLTech Roobert"/>
      <w:b/>
      <w:bCs/>
      <w:color w:val="000032"/>
      <w:sz w:val="48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D09"/>
    <w:pPr>
      <w:keepNext/>
      <w:keepLines/>
      <w:spacing w:before="320" w:after="160" w:line="264" w:lineRule="auto"/>
      <w:ind w:left="0" w:firstLine="0"/>
      <w:outlineLvl w:val="1"/>
    </w:pPr>
    <w:rPr>
      <w:rFonts w:ascii="HCLTech Roobert" w:hAnsi="HCLTech Roobert" w:cs="HCLTech Roobert" w:eastAsia="HCLTech Roobert"/>
      <w:b/>
      <w:color w:val="000032"/>
      <w:sz w:val="4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4CF"/>
    <w:pPr>
      <w:keepNext/>
      <w:keepLines/>
      <w:spacing w:before="440" w:after="160" w:line="264" w:lineRule="auto"/>
      <w:ind w:left="0" w:firstLine="0"/>
      <w:outlineLvl w:val="2"/>
    </w:pPr>
    <w:rPr>
      <w:rFonts w:ascii="Aptos" w:hAnsi="Aptos" w:cs="Aptos" w:eastAsia="Aptos"/>
      <w:b/>
      <w:color w:val="000032"/>
      <w:sz w:val="32"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rsid w:val="003954CF"/>
    <w:pPr>
      <w:keepNext/>
      <w:keepLines/>
      <w:spacing w:before="320" w:after="120" w:line="264" w:lineRule="auto"/>
      <w:ind w:left="0" w:firstLine="0"/>
      <w:outlineLvl w:val="3"/>
    </w:pPr>
    <w:rPr>
      <w:rFonts w:ascii="Aptos" w:hAnsi="Aptos" w:cs="Aptos" w:eastAsia="Aptos"/>
      <w:b/>
      <w:bCs/>
      <w:iCs/>
      <w:color w:val="000032"/>
      <w:sz w:val="27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43D1"/>
    <w:pPr>
      <w:keepNext/>
      <w:keepLines/>
      <w:spacing w:before="320" w:after="120" w:line="264" w:lineRule="auto"/>
      <w:ind w:left="0" w:firstLine="0"/>
      <w:outlineLvl w:val="4"/>
    </w:pPr>
    <w:rPr>
      <w:rFonts w:ascii="Aptos" w:hAnsi="Aptos" w:cs="Aptos" w:eastAsia="Aptos"/>
      <w:b/>
      <w:color w:val="000032"/>
      <w:sz w:val="24"/>
      <w:szCs w:val="24"/>
    </w:rPr>
  </w:style>
  <w:style w:type="paragraph" w:customStyle="1" w:styleId="AnalysisModuleTitle">
    <w:name w:val="Analysis Module Title"/>
    <w:basedOn w:val="Heading2"/>
    <w:pPr>
      <w:keepNext/>
      <w:keepLines/>
      <w:spacing w:before="0" w:after="240" w:line="264" w:lineRule="auto"/>
      <w:ind w:left="0" w:firstLine="0"/>
      <w:outlineLvl w:val="1"/>
      <w:pBdr>
        <w:bottom w:val="single" w:sz="6" w:space="8" w:color="17707F"/>
      </w:pBdr>
    </w:pPr>
    <w:rPr>
      <w:rFonts w:ascii="HCLTech Roobert" w:hAnsi="HCLTech Roobert" w:cs="HCLTech Roobert" w:eastAsia="HCLTech Roobert"/>
      <w:b/>
      <w:color w:val="000032"/>
      <w:sz w:val="40"/>
    </w:rPr>
  </w:style>
  <w:style w:type="paragraph" w:customStyle="1" w:styleId="AnalysisModuleLabel">
    <w:name w:val="Analysis Module Label"/>
    <w:basedOn w:val="Normal"/>
    <w:pPr>
      <w:keepNext/>
      <w:keepLines/>
      <w:pageBreakBefore/>
      <w:spacing w:before="0" w:after="100" w:line="264" w:lineRule="auto"/>
      <w:ind w:left="0" w:firstLine="0"/>
    </w:pPr>
    <w:rPr>
      <w:rFonts w:ascii="Aptos" w:hAnsi="Aptos" w:cs="Aptos" w:eastAsia="Aptos"/>
      <w:b/>
      <w:color w:val="17707F"/>
      <w:sz w:val="18"/>
    </w:rPr>
  </w:style>
  <w:style w:type="paragraph" w:customStyle="1" w:styleId="ReportNavigationFooter">
    <w:name w:val="Report Navigation Footer"/>
    <w:basedOn w:val="Normal"/>
    <w:pPr>
      <w:spacing w:before="0" w:after="0"/>
    </w:pPr>
    <w:rPr>
      <w:rFonts w:ascii="Aptos" w:hAnsi="Aptos" w:cs="Aptos" w:eastAsia="Aptos"/>
      <w:b w:val="0"/>
      <w:color w:val="000032"/>
      <w:sz w:val="18"/>
    </w:rPr>
  </w:style>
  <w:style w:type="paragraph" w:customStyle="1" w:styleId="ReportTableHeader">
    <w:name w:val="Report Table Header"/>
    <w:basedOn w:val="Normal"/>
    <w:rPr>
      <w:rFonts w:ascii="Aptos" w:hAnsi="Aptos"/>
      <w:b/>
      <w:color w:val="FFFFFF"/>
      <w:sz w:val="21"/>
    </w:rPr>
  </w:style>
  <w:style w:type="paragraph" w:customStyle="1" w:styleId="ReportTableBody">
    <w:name w:val="Report Table Body"/>
    <w:basedOn w:val="Normal"/>
    <w:rPr>
      <w:rFonts w:ascii="Aptos" w:hAnsi="Aptos"/>
      <w:b w:val="0"/>
      <w:color w:val="00003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Commit 4063f4e-dirty · Template TA_Health_Check_Style_Template.docx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