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C9A227"/>
          <w:sz w:val="18"/>
          <w:szCs w:val="18"/>
        </w:rPr>
        <w:t xml:space="preserve">AI JEDI ACADEMY  ·  TEACHING BRIEF</w:t>
      </w:r>
    </w:p>
    <w:p>
      <w:pPr>
        <w:spacing w:after="60"/>
      </w:pPr>
      <w:r>
        <w:rPr>
          <w:rFonts w:ascii="Arial" w:cs="Arial" w:eastAsia="Arial" w:hAnsi="Arial"/>
          <w:b/>
          <w:bCs/>
          <w:color w:val="0B1F3A"/>
          <w:sz w:val="44"/>
          <w:szCs w:val="44"/>
        </w:rPr>
        <w:t xml:space="preserve">Python for CCA-F Exam Preparation</w:t>
      </w:r>
    </w:p>
    <w:p>
      <w:pPr>
        <w:spacing w:after="240"/>
      </w:pPr>
      <w:r>
        <w:rPr>
          <w:rFonts w:ascii="Arial" w:cs="Arial" w:eastAsia="Arial" w:hAnsi="Arial"/>
          <w:color w:val="1E7B7B"/>
          <w:sz w:val="26"/>
          <w:szCs w:val="26"/>
        </w:rPr>
        <w:t xml:space="preserve">Lesson outline &amp; teaching brief for the AJA cohort</w:t>
      </w:r>
    </w:p>
    <w:p>
      <w:pPr>
        <w:pBdr>
          <w:bottom w:val="single" w:color="C9A227" w:sz="12" w:space="6"/>
        </w:pBdr>
        <w:spacing w:after="200"/>
      </w:pPr>
      <w:r>
        <w:t xml:space="preserve"/>
      </w:r>
    </w:p>
    <w:tbl>
      <w:tblPr>
        <w:tblW w:type="dxa" w:w="9360"/>
        <w:tblBorders>
          <w:top w:val="none" w:color="FFFFFF" w:sz="0"/>
          <w:left w:val="none" w:color="FFFFFF" w:sz="0"/>
          <w:bottom w:val="none" w:color="FFFFFF" w:sz="0"/>
          <w:right w:val="none" w:color="FFFFFF" w:sz="0"/>
          <w:insideH w:val="single" w:color="DDDDDD" w:sz="2"/>
          <w:insideV w:val="none" w:color="FFFFFF" w:sz="0"/>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r>
              <w:rPr>
                <w:b/>
                <w:bCs/>
                <w:color w:val="0B1F3A"/>
                <w:sz w:val="20"/>
                <w:szCs w:val="20"/>
              </w:rPr>
              <w:t xml:space="preserve">Prepared for</w:t>
            </w:r>
          </w:p>
        </w:tc>
        <w:tc>
          <w:tcPr>
            <w:tcW w:type="dxa" w:w="7160"/>
            <w:tcBorders>
              <w:top w:val="none" w:color="FFFFFF" w:sz="0"/>
              <w:left w:val="none" w:color="FFFFFF" w:sz="0"/>
              <w:bottom w:val="none" w:color="FFFFFF" w:sz="0"/>
              <w:right w:val="none" w:color="FFFFFF" w:sz="0"/>
            </w:tcBorders>
            <w:tcMar>
              <w:top w:type="dxa" w:w="80"/>
              <w:left w:type="dxa" w:w="80"/>
              <w:bottom w:type="dxa" w:w="80"/>
              <w:right w:type="dxa" w:w="120"/>
            </w:tcMar>
          </w:tcPr>
          <w:p>
            <w:r>
              <w:rPr>
                <w:color w:val="1A1A1A"/>
                <w:sz w:val="20"/>
                <w:szCs w:val="20"/>
              </w:rPr>
              <w:t xml:space="preserve">Don Ranns, Head of AI — UndrDog Hemp &amp; Primal Queen</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r>
              <w:rPr>
                <w:b/>
                <w:bCs/>
                <w:color w:val="0B1F3A"/>
                <w:sz w:val="20"/>
                <w:szCs w:val="20"/>
              </w:rPr>
              <w:t xml:space="preserve">Prepared by</w:t>
            </w:r>
          </w:p>
        </w:tc>
        <w:tc>
          <w:tcPr>
            <w:tcW w:type="dxa" w:w="7160"/>
            <w:tcBorders>
              <w:top w:val="none" w:color="FFFFFF" w:sz="0"/>
              <w:left w:val="none" w:color="FFFFFF" w:sz="0"/>
              <w:bottom w:val="none" w:color="FFFFFF" w:sz="0"/>
              <w:right w:val="none" w:color="FFFFFF" w:sz="0"/>
            </w:tcBorders>
            <w:tcMar>
              <w:top w:type="dxa" w:w="80"/>
              <w:left w:type="dxa" w:w="80"/>
              <w:bottom w:type="dxa" w:w="80"/>
              <w:right w:type="dxa" w:w="120"/>
            </w:tcMar>
          </w:tcPr>
          <w:p>
            <w:r>
              <w:rPr>
                <w:color w:val="1A1A1A"/>
                <w:sz w:val="20"/>
                <w:szCs w:val="20"/>
              </w:rPr>
              <w:t xml:space="preserve">Qui-Gon Don (Claude)</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r>
              <w:rPr>
                <w:b/>
                <w:bCs/>
                <w:color w:val="0B1F3A"/>
                <w:sz w:val="20"/>
                <w:szCs w:val="20"/>
              </w:rPr>
              <w:t xml:space="preserve">Audience</w:t>
            </w:r>
          </w:p>
        </w:tc>
        <w:tc>
          <w:tcPr>
            <w:tcW w:type="dxa" w:w="7160"/>
            <w:tcBorders>
              <w:top w:val="none" w:color="FFFFFF" w:sz="0"/>
              <w:left w:val="none" w:color="FFFFFF" w:sz="0"/>
              <w:bottom w:val="none" w:color="FFFFFF" w:sz="0"/>
              <w:right w:val="none" w:color="FFFFFF" w:sz="0"/>
            </w:tcBorders>
            <w:tcMar>
              <w:top w:type="dxa" w:w="80"/>
              <w:left w:type="dxa" w:w="80"/>
              <w:bottom w:type="dxa" w:w="80"/>
              <w:right w:type="dxa" w:w="120"/>
            </w:tcMar>
          </w:tcPr>
          <w:p>
            <w:r>
              <w:rPr>
                <w:color w:val="1A1A1A"/>
                <w:sz w:val="20"/>
                <w:szCs w:val="20"/>
              </w:rPr>
              <w:t xml:space="preserve">Backend systems expert teaching the AJA cohort</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r>
              <w:rPr>
                <w:b/>
                <w:bCs/>
                <w:color w:val="0B1F3A"/>
                <w:sz w:val="20"/>
                <w:szCs w:val="20"/>
              </w:rPr>
              <w:t xml:space="preserve">Cohort context</w:t>
            </w:r>
          </w:p>
        </w:tc>
        <w:tc>
          <w:tcPr>
            <w:tcW w:type="dxa" w:w="7160"/>
            <w:tcBorders>
              <w:top w:val="none" w:color="FFFFFF" w:sz="0"/>
              <w:left w:val="none" w:color="FFFFFF" w:sz="0"/>
              <w:bottom w:val="none" w:color="FFFFFF" w:sz="0"/>
              <w:right w:val="none" w:color="FFFFFF" w:sz="0"/>
            </w:tcBorders>
            <w:tcMar>
              <w:top w:type="dxa" w:w="80"/>
              <w:left w:type="dxa" w:w="80"/>
              <w:bottom w:type="dxa" w:w="80"/>
              <w:right w:type="dxa" w:w="120"/>
            </w:tcMar>
          </w:tcPr>
          <w:p>
            <w:r>
              <w:rPr>
                <w:color w:val="1A1A1A"/>
                <w:sz w:val="20"/>
                <w:szCs w:val="20"/>
              </w:rPr>
              <w:t xml:space="preserve">~15 padawans preparing for the Claude Certified Architect — Foundations exam</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r>
              <w:rPr>
                <w:b/>
                <w:bCs/>
                <w:color w:val="0B1F3A"/>
                <w:sz w:val="20"/>
                <w:szCs w:val="20"/>
              </w:rPr>
              <w:t xml:space="preserve">Status</w:t>
            </w:r>
          </w:p>
        </w:tc>
        <w:tc>
          <w:tcPr>
            <w:tcW w:type="dxa" w:w="7160"/>
            <w:tcBorders>
              <w:top w:val="none" w:color="FFFFFF" w:sz="0"/>
              <w:left w:val="none" w:color="FFFFFF" w:sz="0"/>
              <w:bottom w:val="none" w:color="FFFFFF" w:sz="0"/>
              <w:right w:val="none" w:color="FFFFFF" w:sz="0"/>
            </w:tcBorders>
            <w:tcMar>
              <w:top w:type="dxa" w:w="80"/>
              <w:left w:type="dxa" w:w="80"/>
              <w:bottom w:type="dxa" w:w="80"/>
              <w:right w:type="dxa" w:w="120"/>
            </w:tcMar>
          </w:tcPr>
          <w:p>
            <w:r>
              <w:rPr>
                <w:color w:val="1A1A1A"/>
                <w:sz w:val="20"/>
                <w:szCs w:val="20"/>
              </w:rPr>
              <w:t xml:space="preserve">Draft for review — hand directly to teaching partner</w:t>
            </w:r>
          </w:p>
        </w:tc>
      </w:tr>
    </w:tbl>
    <w:p>
      <w:pPr>
        <w:spacing w:after="200"/>
      </w:pPr>
      <w:r>
        <w:t xml:space="preserve"/>
      </w:r>
    </w:p>
    <w:p>
      <w:pPr>
        <w:pStyle w:val="Heading1"/>
        <w:spacing w:after="180" w:before="360"/>
      </w:pPr>
      <w:r>
        <w:rPr>
          <w:b/>
          <w:bCs/>
          <w:color w:val="0B1F3A"/>
        </w:rPr>
        <w:t xml:space="preserve">Executive summary</w:t>
      </w:r>
    </w:p>
    <w:p>
      <w:pPr>
        <w:spacing w:after="140" w:line="300"/>
      </w:pPr>
      <w:r>
        <w:t xml:space="preserve">The AJA cohort is preparing for the CCA-F (Claude Certified Architect — Foundations) exam. To support that path, the team is commissioning a basics-of-Python lesson taught by a backend systems expert. This brief defines what to teach, what to skip, and why — so the lesson lands the right Python depth without overshooting.</w:t>
      </w:r>
    </w:p>
    <w:tbl>
      <w:tblPr>
        <w:tblW w:type="dxa" w:w="9360"/>
        <w:tblBorders>
          <w:top w:val="single" w:color="C9A227" w:sz="6"/>
          <w:left w:val="single" w:color="C9A227" w:sz="18"/>
          <w:bottom w:val="single" w:color="C9A227" w:sz="6"/>
          <w:right w:val="single" w:color="C9A227" w:sz="6"/>
          <w:insideH w:val="none" w:color="FFFFFF" w:sz="0"/>
          <w:insideV w:val="none" w:color="FFFFFF" w:sz="0"/>
        </w:tblBorders>
      </w:tblPr>
      <w:tblGrid>
        <w:gridCol w:w="9360"/>
      </w:tblGrid>
      <w:tr>
        <w:tc>
          <w:tcPr>
            <w:tcW w:type="dxa" w:w="9360"/>
            <w:shd w:fill="F7EFD6" w:val="clear"/>
            <w:tcMar>
              <w:top w:type="dxa" w:w="200"/>
              <w:left w:type="dxa" w:w="280"/>
              <w:bottom w:type="dxa" w:w="200"/>
              <w:right w:type="dxa" w:w="240"/>
            </w:tcMar>
          </w:tcPr>
          <w:p>
            <w:pPr>
              <w:spacing w:after="60"/>
            </w:pPr>
            <w:r>
              <w:rPr>
                <w:b/>
                <w:bCs/>
                <w:color w:val="0B1F3A"/>
                <w:sz w:val="18"/>
                <w:szCs w:val="18"/>
              </w:rPr>
              <w:t xml:space="preserve">THE STRATEGIC REFRAME</w:t>
            </w:r>
          </w:p>
          <w:p>
            <w:pPr>
              <w:spacing w:after="100" w:line="300"/>
            </w:pPr>
            <w:r>
              <w:rPr>
                <w:b/>
                <w:bCs/>
                <w:color w:val="0B1F3A"/>
              </w:rPr>
              <w:t xml:space="preserve">The CCA-F exam does not test Python. </w:t>
            </w:r>
            <w:r>
              <w:t xml:space="preserve">Every sample question in the official exam guide is an architecture question. The exam's stated out-of-scope topics explicitly exclude detailed implementation of specific programming languages.</w:t>
            </w:r>
          </w:p>
          <w:p>
            <w:pPr>
              <w:spacing w:after="100" w:line="300"/>
            </w:pPr>
            <w:r>
              <w:rPr>
                <w:b/>
                <w:bCs/>
                <w:color w:val="0B1F3A"/>
              </w:rPr>
              <w:t xml:space="preserve">But the Skilljar courses absolutely require Python. </w:t>
            </w:r>
            <w:r>
              <w:t xml:space="preserve">Building with the Claude API requires “Proficiency in Python programming.” Introduction to MCP requires “Working knowledge of Python programming.” These are not Python-teaching courses; they are Python-required courses.</w:t>
            </w:r>
          </w:p>
          <w:p>
            <w:pPr>
              <w:spacing w:line="300"/>
            </w:pPr>
            <w:r>
              <w:rPr>
                <w:color w:val="1A1A1A"/>
              </w:rPr>
              <w:t xml:space="preserve">So the lesson’s real purpose is not </w:t>
            </w:r>
            <w:r>
              <w:rPr>
                <w:i/>
                <w:iCs/>
              </w:rPr>
              <w:t xml:space="preserve">“Python to pass CCA-F.”</w:t>
            </w:r>
            <w:r>
              <w:rPr>
                <w:color w:val="1A1A1A"/>
              </w:rPr>
              <w:t xml:space="preserve"> It is </w:t>
            </w:r>
            <w:r>
              <w:rPr>
                <w:b/>
                <w:bCs/>
                <w:i/>
                <w:iCs/>
              </w:rPr>
              <w:t xml:space="preserve">“Python to absorb the Skilljar courses without getting lost in syntax.”</w:t>
            </w:r>
            <w:r>
              <w:rPr>
                <w:color w:val="1A1A1A"/>
              </w:rPr>
              <w:t xml:space="preserve"> Misframe this and the lesson teaches the wrong Python.</w:t>
            </w:r>
          </w:p>
        </w:tc>
      </w:tr>
    </w:tbl>
    <w:p>
      <w:pPr>
        <w:spacing w:after="200"/>
      </w:pPr>
      <w:r>
        <w:t xml:space="preserve"/>
      </w:r>
    </w:p>
    <w:p>
      <w:pPr>
        <w:pStyle w:val="Heading1"/>
        <w:spacing w:after="180" w:before="360"/>
      </w:pPr>
      <w:r>
        <w:rPr>
          <w:b/>
          <w:bCs/>
          <w:color w:val="0B1F3A"/>
        </w:rPr>
        <w:t xml:space="preserve">Evidence from the prep stack</w:t>
      </w:r>
    </w:p>
    <w:p>
      <w:pPr>
        <w:spacing w:after="140" w:line="300"/>
      </w:pPr>
      <w:r>
        <w:t xml:space="preserve">Two sources triangulate the Python depth required: the official CCA-F exam guide and the Claude Partner Network Skilljar learning path.</w:t>
      </w:r>
    </w:p>
    <w:p>
      <w:pPr>
        <w:pStyle w:val="Heading2"/>
        <w:spacing w:after="140" w:before="280"/>
      </w:pPr>
      <w:r>
        <w:rPr>
          <w:b/>
          <w:bCs/>
          <w:color w:val="0B1F3A"/>
        </w:rPr>
        <w:t xml:space="preserve">Skilljar prerequisites (canonical Anthropic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tcPr>
          <w:p>
            <w:r>
              <w:rPr>
                <w:b/>
                <w:bCs/>
                <w:color w:val="FFFFFF"/>
              </w:rPr>
              <w:t xml:space="preserve">Course</w:t>
            </w:r>
          </w:p>
        </w:tc>
        <w:tc>
          <w:tcPr>
            <w:tcW w:type="dxa" w:w="22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tcPr>
          <w:p>
            <w:r>
              <w:rPr>
                <w:b/>
                <w:bCs/>
                <w:color w:val="FFFFFF"/>
              </w:rPr>
              <w:t xml:space="preserve">Python prerequisite</w:t>
            </w:r>
          </w:p>
        </w:tc>
        <w:tc>
          <w:tcPr>
            <w:tcW w:type="dxa" w:w="376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tcPr>
          <w:p>
            <w:r>
              <w:rPr>
                <w:b/>
                <w:bCs/>
                <w:color w:val="FFFFFF"/>
              </w:rPr>
              <w:t xml:space="preserve">What students actually do</w:t>
            </w:r>
          </w:p>
        </w:tc>
      </w:tr>
      <w:tr>
        <w:tc>
          <w:tcPr>
            <w:tcW w:type="dxa" w:w="3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Introduction to Agent Skills</w:t>
            </w:r>
          </w:p>
        </w:tc>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None stated (markdown-driven)</w:t>
            </w:r>
          </w:p>
        </w:tc>
        <w:tc>
          <w:tcPr>
            <w:tcW w:type="dxa" w:w="37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Build skills as markdown files; no Python required</w:t>
            </w:r>
          </w:p>
        </w:tc>
      </w:tr>
      <w:tr>
        <w:tc>
          <w:tcPr>
            <w:tcW w:type="dxa" w:w="34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rPr>
              <w:t xml:space="preserve">Building with the Claude API</w:t>
            </w:r>
          </w:p>
        </w:tc>
        <w:tc>
          <w:tcPr>
            <w:tcW w:type="dxa" w:w="22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color w:val="0B1F3A"/>
              </w:rPr>
              <w:t xml:space="preserve">Proficiency in Python programming</w:t>
            </w:r>
          </w:p>
        </w:tc>
        <w:tc>
          <w:tcPr>
            <w:tcW w:type="dxa" w:w="376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Write API requests, build tool use loops, RAG systems, agent workflows — all in Python</w:t>
            </w:r>
          </w:p>
        </w:tc>
      </w:tr>
      <w:tr>
        <w:tc>
          <w:tcPr>
            <w:tcW w:type="dxa" w:w="3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rPr>
              <w:t xml:space="preserve">Introduction to Model Context Protocol</w:t>
            </w:r>
          </w:p>
        </w:tc>
        <w:tc>
          <w:tcPr>
            <w:tcW w:type="dxa" w:w="2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color w:val="0B1F3A"/>
              </w:rPr>
              <w:t xml:space="preserve">Working knowledge of Python programming</w:t>
            </w:r>
          </w:p>
        </w:tc>
        <w:tc>
          <w:tcPr>
            <w:tcW w:type="dxa" w:w="37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Build MCP servers and clients from scratch in Python; decorators, type hints, Pydantic</w:t>
            </w:r>
          </w:p>
        </w:tc>
      </w:tr>
      <w:tr>
        <w:tc>
          <w:tcPr>
            <w:tcW w:type="dxa" w:w="34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Claude Code in Action</w:t>
            </w:r>
          </w:p>
        </w:tc>
        <w:tc>
          <w:tcPr>
            <w:tcW w:type="dxa" w:w="22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None stated (CLI-driven)</w:t>
            </w:r>
          </w:p>
        </w:tc>
        <w:tc>
          <w:tcPr>
            <w:tcW w:type="dxa" w:w="376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Configure Claude Code at the terminal; minimal Python</w:t>
            </w:r>
          </w:p>
        </w:tc>
      </w:tr>
    </w:tbl>
    <w:p>
      <w:pPr>
        <w:spacing w:before="160"/>
      </w:pPr>
      <w:r>
        <w:rPr>
          <w:b/>
          <w:bCs/>
        </w:rPr>
        <w:t xml:space="preserve">Read together: </w:t>
      </w:r>
      <w:r>
        <w:t xml:space="preserve">two of the four canonical courses gate access on Python competency the cohort does not yet have. That gate, not the exam itself, is what the lesson must clear.</w:t>
      </w:r>
    </w:p>
    <w:p>
      <w:pPr>
        <w:pStyle w:val="Heading2"/>
        <w:spacing w:after="140" w:before="280"/>
      </w:pPr>
      <w:r>
        <w:rPr>
          <w:b/>
          <w:bCs/>
          <w:color w:val="0B1F3A"/>
        </w:rPr>
        <w:t xml:space="preserve">Python concepts that surface in exam and Skilljar materials</w:t>
      </w:r>
    </w:p>
    <w:p>
      <w:pPr>
        <w:spacing w:after="140" w:line="300"/>
      </w:pPr>
      <w:r>
        <w:t xml:space="preserve">Every Python concept across both sources, sorted by frequency of appearance. The right-hand column says how deeply the cohort needs to know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tcPr>
          <w:p>
            <w:r>
              <w:rPr>
                <w:b/>
                <w:bCs/>
                <w:color w:val="FFFFFF"/>
              </w:rPr>
              <w:t xml:space="preserve">Concept</w:t>
            </w:r>
          </w:p>
        </w:tc>
        <w:tc>
          <w:tcPr>
            <w:tcW w:type="dxa" w:w="476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tcPr>
          <w:p>
            <w:r>
              <w:rPr>
                <w:b/>
                <w:bCs/>
                <w:color w:val="FFFFFF"/>
              </w:rPr>
              <w:t xml:space="preserve">Where it appears</w:t>
            </w:r>
          </w:p>
        </w:tc>
        <w:tc>
          <w:tcPr>
            <w:tcW w:type="dxa" w:w="18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tcPr>
          <w:p>
            <w:r>
              <w:rPr>
                <w:b/>
                <w:bCs/>
                <w:color w:val="FFFFFF"/>
              </w:rPr>
              <w:t xml:space="preserve">Depth needed</w:t>
            </w:r>
          </w:p>
        </w:tc>
      </w:tr>
      <w:tr>
        <w:tc>
          <w:tcPr>
            <w:tcW w:type="dxa" w:w="28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rPr>
              <w:t xml:space="preserve">Dictionaries / JSON manipulation</w:t>
            </w:r>
          </w:p>
        </w:tc>
        <w:tc>
          <w:tcPr>
            <w:tcW w:type="dxa" w:w="476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Everywhere — tool schemas, API requests, responses</w:t>
            </w:r>
          </w:p>
        </w:tc>
        <w:tc>
          <w:tcPr>
            <w:tcW w:type="dxa" w:w="18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color w:val="0B1F3A"/>
              </w:rPr>
              <w:t xml:space="preserve">Deep</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rPr>
              <w:t xml:space="preserve">Function definitions (def)</w:t>
            </w:r>
          </w:p>
        </w:tc>
        <w:tc>
          <w:tcPr>
            <w:tcW w:type="dxa" w:w="47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Tool definitions, agent loop bodies</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color w:val="0B1F3A"/>
              </w:rPr>
              <w:t xml:space="preserve">Deep</w:t>
            </w:r>
          </w:p>
        </w:tc>
      </w:tr>
      <w:tr>
        <w:tc>
          <w:tcPr>
            <w:tcW w:type="dxa" w:w="28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rPr>
              <w:t xml:space="preserve">Type hints (name: str)</w:t>
            </w:r>
          </w:p>
        </w:tc>
        <w:tc>
          <w:tcPr>
            <w:tcW w:type="dxa" w:w="476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MCP tool definitions, Pydantic models, all SDK examples</w:t>
            </w:r>
          </w:p>
        </w:tc>
        <w:tc>
          <w:tcPr>
            <w:tcW w:type="dxa" w:w="18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val="false"/>
                <w:bCs w:val="false"/>
                <w:color w:val="1E7B7B"/>
              </w:rPr>
              <w:t xml:space="preserve">Working</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rPr>
              <w:t xml:space="preserve">Conditionals (if / elif / else)</w:t>
            </w:r>
          </w:p>
        </w:tc>
        <w:tc>
          <w:tcPr>
            <w:tcW w:type="dxa" w:w="47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stop_reason checks, escalation logic</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color w:val="0B1F3A"/>
              </w:rPr>
              <w:t xml:space="preserve">Deep</w:t>
            </w:r>
          </w:p>
        </w:tc>
      </w:tr>
      <w:tr>
        <w:tc>
          <w:tcPr>
            <w:tcW w:type="dxa" w:w="28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rPr>
              <w:t xml:space="preserve">Loops (while, for)</w:t>
            </w:r>
          </w:p>
        </w:tc>
        <w:tc>
          <w:tcPr>
            <w:tcW w:type="dxa" w:w="476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The agentic loop is literally a while loop</w:t>
            </w:r>
          </w:p>
        </w:tc>
        <w:tc>
          <w:tcPr>
            <w:tcW w:type="dxa" w:w="18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color w:val="0B1F3A"/>
              </w:rPr>
              <w:t xml:space="preserve">Deep</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rPr>
              <w:t xml:space="preserve">Imports</w:t>
            </w:r>
          </w:p>
        </w:tc>
        <w:tc>
          <w:tcPr>
            <w:tcW w:type="dxa" w:w="47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Every code sample begins with imports</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val="false"/>
                <w:bCs w:val="false"/>
                <w:color w:val="1E7B7B"/>
              </w:rPr>
              <w:t xml:space="preserve">Working</w:t>
            </w:r>
          </w:p>
        </w:tc>
      </w:tr>
      <w:tr>
        <w:tc>
          <w:tcPr>
            <w:tcW w:type="dxa" w:w="28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rPr>
              <w:t xml:space="preserve">Strings and f-strings</w:t>
            </w:r>
          </w:p>
        </w:tc>
        <w:tc>
          <w:tcPr>
            <w:tcW w:type="dxa" w:w="476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Prompt construction, dynamic context</w:t>
            </w:r>
          </w:p>
        </w:tc>
        <w:tc>
          <w:tcPr>
            <w:tcW w:type="dxa" w:w="18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val="false"/>
                <w:bCs w:val="false"/>
                <w:color w:val="1E7B7B"/>
              </w:rPr>
              <w:t xml:space="preserve">Working</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rPr>
              <w:t xml:space="preserve">Lists</w:t>
            </w:r>
          </w:p>
        </w:tc>
        <w:tc>
          <w:tcPr>
            <w:tcW w:type="dxa" w:w="47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Tool result handling, multi-agent results</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val="false"/>
                <w:bCs w:val="false"/>
                <w:color w:val="1E7B7B"/>
              </w:rPr>
              <w:t xml:space="preserve">Working</w:t>
            </w:r>
          </w:p>
        </w:tc>
      </w:tr>
      <w:tr>
        <w:tc>
          <w:tcPr>
            <w:tcW w:type="dxa" w:w="28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rPr>
              <w:t xml:space="preserve">Decorators (@tool, @app.tool)</w:t>
            </w:r>
          </w:p>
        </w:tc>
        <w:tc>
          <w:tcPr>
            <w:tcW w:type="dxa" w:w="476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MCP server tool registration</w:t>
            </w:r>
          </w:p>
        </w:tc>
        <w:tc>
          <w:tcPr>
            <w:tcW w:type="dxa" w:w="18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val="false"/>
                <w:bCs w:val="false"/>
                <w:color w:val="555555"/>
              </w:rPr>
              <w:t xml:space="preserve">Recognize</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rPr>
              <w:t xml:space="preserve">Pydantic BaseModel</w:t>
            </w:r>
          </w:p>
        </w:tc>
        <w:tc>
          <w:tcPr>
            <w:tcW w:type="dxa" w:w="47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Schema validation, structured output</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val="false"/>
                <w:bCs w:val="false"/>
                <w:color w:val="555555"/>
              </w:rPr>
              <w:t xml:space="preserve">Recognize + read</w:t>
            </w:r>
          </w:p>
        </w:tc>
      </w:tr>
      <w:tr>
        <w:tc>
          <w:tcPr>
            <w:tcW w:type="dxa" w:w="28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rPr>
              <w:t xml:space="preserve">Async / await</w:t>
            </w:r>
          </w:p>
        </w:tc>
        <w:tc>
          <w:tcPr>
            <w:tcW w:type="dxa" w:w="476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Anthropic SDK calls (sometimes)</w:t>
            </w:r>
          </w:p>
        </w:tc>
        <w:tc>
          <w:tcPr>
            <w:tcW w:type="dxa" w:w="18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val="false"/>
                <w:bCs w:val="false"/>
                <w:color w:val="555555"/>
              </w:rPr>
              <w:t xml:space="preserve">Recognize only</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rPr>
              <w:t xml:space="preserve">Classes / OOP</w:t>
            </w:r>
          </w:p>
        </w:tc>
        <w:tc>
          <w:tcPr>
            <w:tcW w:type="dxa" w:w="47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Agent definitions, occasionally</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val="false"/>
                <w:bCs w:val="false"/>
                <w:color w:val="555555"/>
              </w:rPr>
              <w:t xml:space="preserve">Recognize only</w:t>
            </w:r>
          </w:p>
        </w:tc>
      </w:tr>
      <w:tr>
        <w:tc>
          <w:tcPr>
            <w:tcW w:type="dxa" w:w="28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rPr>
              <w:t xml:space="preserve">Try / except</w:t>
            </w:r>
          </w:p>
        </w:tc>
        <w:tc>
          <w:tcPr>
            <w:tcW w:type="dxa" w:w="476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Error handling patterns</w:t>
            </w:r>
          </w:p>
        </w:tc>
        <w:tc>
          <w:tcPr>
            <w:tcW w:type="dxa" w:w="18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val="false"/>
                <w:bCs w:val="false"/>
                <w:color w:val="1E7B7B"/>
              </w:rPr>
              <w:t xml:space="preserve">Working</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rPr>
              <w:t xml:space="preserve">os.environ for env vars</w:t>
            </w:r>
          </w:p>
        </w:tc>
        <w:tc>
          <w:tcPr>
            <w:tcW w:type="dxa" w:w="47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Credential management in .mcp.json</w:t>
            </w:r>
          </w:p>
        </w:tc>
        <w:tc>
          <w:tcPr>
            <w:tcW w:type="dxa" w:w="18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val="false"/>
                <w:bCs w:val="false"/>
                <w:color w:val="555555"/>
              </w:rPr>
              <w:t xml:space="preserve">Recognize</w:t>
            </w:r>
          </w:p>
        </w:tc>
      </w:tr>
    </w:tbl>
    <w:p>
      <w:pPr>
        <w:spacing w:before="160"/>
      </w:pPr>
      <w:r>
        <w:rPr>
          <w:b/>
          <w:bCs/>
          <w:color w:val="0B1F3A"/>
        </w:rPr>
        <w:t xml:space="preserve">Verdict: </w:t>
      </w:r>
      <w:r>
        <w:t xml:space="preserve">five concepts are deep, four are working knowledge, four are recognize-only. The lesson must overweight the deep five and gracefully introduce the rest. Everything not on this list is out of scope.</w:t>
      </w:r>
    </w:p>
    <w:p>
      <w:pPr>
        <w:pStyle w:val="Heading1"/>
        <w:spacing w:after="180" w:before="360"/>
      </w:pPr>
      <w:r>
        <w:rPr>
          <w:b/>
          <w:bCs/>
          <w:color w:val="0B1F3A"/>
        </w:rPr>
        <w:t xml:space="preserve">Audience reality check</w:t>
      </w:r>
    </w:p>
    <w:p>
      <w:pPr>
        <w:spacing w:after="140" w:line="300"/>
      </w:pPr>
      <w:r>
        <w:t xml:space="preserve">The AJA cohort is mixed. Some padawans (Manny, Has, and anyone with a developer background) will absorb Python concepts quickly. Others (Bret, Natalia, Itzel — operations and marketing natives) need patience at the “this is what indentation means” level. The lesson has to land for both.</w:t>
      </w:r>
    </w:p>
    <w:p>
      <w:pPr>
        <w:spacing w:after="140" w:line="300"/>
      </w:pPr>
      <w:r>
        <w:rPr>
          <w:color w:val="1A1A1A"/>
        </w:rPr>
        <w:t xml:space="preserve">The instinct as a backend expert may be to teach Python the way a junior engineer is onboarded. </w:t>
      </w:r>
      <w:r>
        <w:rPr>
          <w:b/>
          <w:bCs/>
          <w:color w:val="0B1F3A"/>
        </w:rPr>
        <w:t xml:space="preserve">Don’t. </w:t>
      </w:r>
      <w:r>
        <w:t xml:space="preserve">This is closer to “Python for analysts reading data pipelines” — read fluently, write minimally, recognize patterns, understand the systems-level why behind each construct.</w:t>
      </w:r>
    </w:p>
    <w:p>
      <w:pPr>
        <w:spacing w:after="140" w:line="300"/>
      </w:pPr>
      <w:r>
        <w:rPr>
          <w:b/>
          <w:bCs/>
          <w:color w:val="0B1F3A"/>
        </w:rPr>
        <w:t xml:space="preserve">The backend expert framing is an asset, not a constraint. </w:t>
      </w:r>
      <w:r>
        <w:t xml:space="preserve">Each Python construct should be presented as “here is the syntax, and here is why it matters for building AI systems.” That dual framing is what makes a backend expert a more valuable teacher than a generic Python instructor would be.</w:t>
      </w:r>
    </w:p>
    <w:p>
      <w:r>
        <w:br w:type="page"/>
      </w:r>
    </w:p>
    <w:p>
      <w:pPr>
        <w:pStyle w:val="Heading1"/>
        <w:spacing w:after="180" w:before="360"/>
      </w:pPr>
      <w:r>
        <w:rPr>
          <w:b/>
          <w:bCs/>
          <w:color w:val="0B1F3A"/>
        </w:rPr>
        <w:t xml:space="preserve">The lesson outline</w:t>
      </w:r>
    </w:p>
    <w:p>
      <w:pPr>
        <w:spacing w:after="140" w:line="300"/>
      </w:pPr>
      <w:r>
        <w:t xml:space="preserve">Six modules, ~5 hours total. Deliverable as one Saturday session or split across three 90-minute Thursday Council sessions. Each module is mapped to the specific CCA-F domain it earns its place by serving.</w:t>
      </w:r>
    </w:p>
    <w:p>
      <w:pPr>
        <w:pBdr>
          <w:bottom w:val="single" w:color="C9A227" w:sz="8" w:space="4"/>
        </w:pBdr>
        <w:spacing w:after="240" w:before="120"/>
      </w:pPr>
      <w:r>
        <w:t xml:space="preserve"/>
      </w:r>
    </w:p>
    <w:p>
      <w:pPr>
        <w:pStyle w:val="Heading2"/>
        <w:spacing w:after="140" w:before="280"/>
      </w:pPr>
      <w:r>
        <w:rPr>
          <w:b/>
          <w:bCs/>
          <w:color w:val="0B1F3A"/>
        </w:rPr>
        <w:t xml:space="preserve">Module 1 — Python Survival Kit (45 min)</w:t>
      </w:r>
    </w:p>
    <w:p>
      <w:pPr>
        <w:spacing w:after="140" w:line="300"/>
      </w:pPr>
      <w:r>
        <w:rPr>
          <w:b/>
          <w:bCs/>
          <w:color w:val="0B1F3A"/>
        </w:rPr>
        <w:t xml:space="preserve">Goal: </w:t>
      </w:r>
      <w:r>
        <w:t xml:space="preserve">Read Python code aloud without getting lost in syntax. No writing yet.</w:t>
      </w:r>
    </w:p>
    <w:p>
      <w:pPr>
        <w:spacing w:after="60"/>
      </w:pPr>
      <w:r>
        <w:rPr>
          <w:b/>
          <w:bCs/>
          <w:color w:val="0B1F3A"/>
        </w:rPr>
        <w:t xml:space="preserve">Cover:</w:t>
      </w:r>
    </w:p>
    <w:p>
      <w:pPr>
        <w:pStyle w:val="ListParagraph"/>
        <w:numPr>
          <w:ilvl w:val="0"/>
          <w:numId w:val="2"/>
        </w:numPr>
        <w:spacing w:after="80" w:line="280"/>
      </w:pPr>
      <w:r>
        <w:t xml:space="preserve">Indentation = scope (the #1 thing non-coders find confusing)</w:t>
      </w:r>
    </w:p>
    <w:p>
      <w:pPr>
        <w:pStyle w:val="ListParagraph"/>
        <w:numPr>
          <w:ilvl w:val="0"/>
          <w:numId w:val="2"/>
        </w:numPr>
        <w:spacing w:after="80" w:line="280"/>
      </w:pPr>
      <w:r>
        <w:t xml:space="preserve">Variables and assignment</w:t>
      </w:r>
    </w:p>
    <w:p>
      <w:pPr>
        <w:pStyle w:val="ListParagraph"/>
        <w:numPr>
          <w:ilvl w:val="0"/>
          <w:numId w:val="2"/>
        </w:numPr>
        <w:spacing w:after="80" w:line="280"/>
      </w:pPr>
      <w:r>
        <w:t xml:space="preserve">Basic types: int, float, str, bool, None</w:t>
      </w:r>
    </w:p>
    <w:p>
      <w:pPr>
        <w:pStyle w:val="ListParagraph"/>
        <w:numPr>
          <w:ilvl w:val="0"/>
          <w:numId w:val="2"/>
        </w:numPr>
        <w:spacing w:after="80" w:line="280"/>
      </w:pPr>
      <w:r>
        <w:t xml:space="preserve">Comments (#) and docstrings ("""...""")</w:t>
      </w:r>
    </w:p>
    <w:p>
      <w:pPr>
        <w:pStyle w:val="ListParagraph"/>
        <w:numPr>
          <w:ilvl w:val="0"/>
          <w:numId w:val="2"/>
        </w:numPr>
        <w:spacing w:after="80" w:line="280"/>
      </w:pPr>
      <w:r>
        <w:t xml:space="preserve">The Python REPL — show them so they can poke around themselves</w:t>
      </w:r>
    </w:p>
    <w:p>
      <w:pPr>
        <w:spacing w:after="100" w:before="120"/>
      </w:pPr>
      <w:r>
        <w:rPr>
          <w:b/>
          <w:bCs/>
          <w:color w:val="1E7B7B"/>
        </w:rPr>
        <w:t xml:space="preserve">Exam connection: </w:t>
      </w:r>
      <w:r>
        <w:t xml:space="preserve">Every sample question on the exam contains Python code. If padawans cannot read it, the question is unfair. This module is the literacy floor.</w:t>
      </w:r>
    </w:p>
    <w:p>
      <w:pPr>
        <w:spacing w:after="140" w:line="300"/>
      </w:pPr>
      <w:r>
        <w:rPr>
          <w:b/>
          <w:bCs/>
          <w:color w:val="1E7B7B"/>
        </w:rPr>
        <w:t xml:space="preserve">Teaching mode: </w:t>
      </w:r>
      <w:r>
        <w:t xml:space="preserve">Show a real snippet from the exam guide (e.g., the process_refund / get_customer scenario), read it aloud line-by-line, narrate what each line does. Repeat three or four times with different snippets.</w:t>
      </w:r>
    </w:p>
    <w:p>
      <w:pPr>
        <w:pBdr>
          <w:bottom w:val="single" w:color="C9A227" w:sz="8" w:space="4"/>
        </w:pBdr>
        <w:spacing w:after="240" w:before="120"/>
      </w:pPr>
      <w:r>
        <w:t xml:space="preserve"/>
      </w:r>
    </w:p>
    <w:p>
      <w:pPr>
        <w:pStyle w:val="Heading2"/>
        <w:spacing w:after="140" w:before="280"/>
      </w:pPr>
      <w:r>
        <w:rPr>
          <w:b/>
          <w:bCs/>
          <w:color w:val="0B1F3A"/>
        </w:rPr>
        <w:t xml:space="preserve">Module 2 — Dictionaries, Lists, and Why JSON Is Just a Python Dict (60 min)</w:t>
      </w:r>
    </w:p>
    <w:p>
      <w:pPr>
        <w:spacing w:after="140" w:line="300"/>
      </w:pPr>
      <w:r>
        <w:rPr>
          <w:b/>
          <w:bCs/>
          <w:color w:val="0B1F3A"/>
        </w:rPr>
        <w:t xml:space="preserve">Goal: </w:t>
      </w:r>
      <w:r>
        <w:t xml:space="preserve">Fluency with the data structures that show up in 90% of all Claude API code.</w:t>
      </w:r>
    </w:p>
    <w:p>
      <w:pPr>
        <w:spacing w:after="60"/>
      </w:pPr>
      <w:r>
        <w:rPr>
          <w:b/>
          <w:bCs/>
          <w:color w:val="0B1F3A"/>
        </w:rPr>
        <w:t xml:space="preserve">Cover:</w:t>
      </w:r>
    </w:p>
    <w:p>
      <w:pPr>
        <w:pStyle w:val="ListParagraph"/>
        <w:numPr>
          <w:ilvl w:val="0"/>
          <w:numId w:val="2"/>
        </w:numPr>
        <w:spacing w:after="80" w:line="280"/>
      </w:pPr>
      <w:r>
        <w:t xml:space="preserve">Dictionaries: {"key": "value"} — access with d["key"]</w:t>
      </w:r>
    </w:p>
    <w:p>
      <w:pPr>
        <w:pStyle w:val="ListParagraph"/>
        <w:numPr>
          <w:ilvl w:val="0"/>
          <w:numId w:val="2"/>
        </w:numPr>
        <w:spacing w:after="80" w:line="280"/>
      </w:pPr>
      <w:r>
        <w:t xml:space="preserve">Nested dictionaries (because tool schemas are four levels deep)</w:t>
      </w:r>
    </w:p>
    <w:p>
      <w:pPr>
        <w:pStyle w:val="ListParagraph"/>
        <w:numPr>
          <w:ilvl w:val="0"/>
          <w:numId w:val="2"/>
        </w:numPr>
        <w:spacing w:after="80" w:line="280"/>
      </w:pPr>
      <w:r>
        <w:t xml:space="preserve">Lists: [1, 2, 3], iteration</w:t>
      </w:r>
    </w:p>
    <w:p>
      <w:pPr>
        <w:pStyle w:val="ListParagraph"/>
        <w:numPr>
          <w:ilvl w:val="0"/>
          <w:numId w:val="2"/>
        </w:numPr>
        <w:spacing w:after="80" w:line="280"/>
      </w:pPr>
      <w:r>
        <w:t xml:space="preserve">The realization: JSON ≈ Python dict + Python list</w:t>
      </w:r>
    </w:p>
    <w:p>
      <w:pPr>
        <w:pStyle w:val="ListParagraph"/>
        <w:numPr>
          <w:ilvl w:val="0"/>
          <w:numId w:val="2"/>
        </w:numPr>
        <w:spacing w:after="80" w:line="280"/>
      </w:pPr>
      <w:r>
        <w:t xml:space="preserve">Quick tour of json.dumps() and json.loads()</w:t>
      </w:r>
    </w:p>
    <w:p>
      <w:pPr>
        <w:spacing w:after="100" w:before="120"/>
      </w:pPr>
      <w:r>
        <w:rPr>
          <w:b/>
          <w:bCs/>
          <w:color w:val="1E7B7B"/>
        </w:rPr>
        <w:t xml:space="preserve">Exam connection: </w:t>
      </w:r>
      <w:r>
        <w:t xml:space="preserve">Tool schemas, API requests, API responses, tool_use blocks, MCP tool definitions — all of it is nested dicts. Domain 2 (Tool Design, 18%) and Domain 4 (Prompt Engineering &amp; Structured Output, 20%) lean heavily here. That is 38% of the exam unlocked by this module alone.</w:t>
      </w:r>
    </w:p>
    <w:p>
      <w:pPr>
        <w:spacing w:after="140" w:line="300"/>
      </w:pPr>
      <w:r>
        <w:rPr>
          <w:b/>
          <w:bCs/>
          <w:color w:val="1E7B7B"/>
        </w:rPr>
        <w:t xml:space="preserve">Teaching mode: </w:t>
      </w:r>
      <w:r>
        <w:t xml:space="preserve">Show this from the exam guide and read it together:</w:t>
      </w:r>
    </w:p>
    <w:p>
      <w:pPr>
        <w:shd w:fill="F2F2F2" w:val="clear"/>
        <w:spacing w:after="0" w:before="80" w:line="260"/>
        <w:ind w:left="360" w:right="360"/>
      </w:pPr>
      <w:r>
        <w:rPr>
          <w:rFonts w:ascii="Consolas" w:cs="Consolas" w:eastAsia="Consolas" w:hAnsi="Consolas"/>
          <w:color w:val="0B1F3A"/>
          <w:sz w:val="20"/>
          <w:szCs w:val="20"/>
        </w:rPr>
        <w:t xml:space="preserve">{</w:t>
      </w:r>
    </w:p>
    <w:p>
      <w:pPr>
        <w:shd w:fill="F2F2F2" w:val="clear"/>
        <w:spacing w:after="0" w:before="0" w:line="260"/>
        <w:ind w:left="360" w:right="360"/>
      </w:pPr>
      <w:r>
        <w:rPr>
          <w:rFonts w:ascii="Consolas" w:cs="Consolas" w:eastAsia="Consolas" w:hAnsi="Consolas"/>
          <w:color w:val="0B1F3A"/>
          <w:sz w:val="20"/>
          <w:szCs w:val="20"/>
        </w:rPr>
        <w:t xml:space="preserve">  "type": "tool_use",</w:t>
      </w:r>
    </w:p>
    <w:p>
      <w:pPr>
        <w:shd w:fill="F2F2F2" w:val="clear"/>
        <w:spacing w:after="0" w:before="0" w:line="260"/>
        <w:ind w:left="360" w:right="360"/>
      </w:pPr>
      <w:r>
        <w:rPr>
          <w:rFonts w:ascii="Consolas" w:cs="Consolas" w:eastAsia="Consolas" w:hAnsi="Consolas"/>
          <w:color w:val="0B1F3A"/>
          <w:sz w:val="20"/>
          <w:szCs w:val="20"/>
        </w:rPr>
        <w:t xml:space="preserve">  "name": "lookup_order",</w:t>
      </w:r>
    </w:p>
    <w:p>
      <w:pPr>
        <w:shd w:fill="F2F2F2" w:val="clear"/>
        <w:spacing w:after="0" w:before="0" w:line="260"/>
        <w:ind w:left="360" w:right="360"/>
      </w:pPr>
      <w:r>
        <w:rPr>
          <w:rFonts w:ascii="Consolas" w:cs="Consolas" w:eastAsia="Consolas" w:hAnsi="Consolas"/>
          <w:color w:val="0B1F3A"/>
          <w:sz w:val="20"/>
          <w:szCs w:val="20"/>
        </w:rPr>
        <w:t xml:space="preserve">  "input": {"order_id": "12345"}</w:t>
      </w:r>
    </w:p>
    <w:p>
      <w:pPr>
        <w:shd w:fill="F2F2F2" w:val="clear"/>
        <w:spacing w:after="100" w:before="0" w:line="260"/>
        <w:ind w:left="360" w:right="360"/>
      </w:pPr>
      <w:r>
        <w:rPr>
          <w:rFonts w:ascii="Consolas" w:cs="Consolas" w:eastAsia="Consolas" w:hAnsi="Consolas"/>
          <w:color w:val="0B1F3A"/>
          <w:sz w:val="20"/>
          <w:szCs w:val="20"/>
        </w:rPr>
        <w:t xml:space="preserve">}</w:t>
      </w:r>
    </w:p>
    <w:p>
      <w:pPr>
        <w:spacing w:after="140" w:line="300"/>
      </w:pPr>
      <w:r>
        <w:t xml:space="preserve">Then have padawans predict what response["input"]["order_id"] returns. Build intuition through prediction, not lecture.</w:t>
      </w:r>
    </w:p>
    <w:p>
      <w:pPr>
        <w:pBdr>
          <w:bottom w:val="single" w:color="C9A227" w:sz="8" w:space="4"/>
        </w:pBdr>
        <w:spacing w:after="240" w:before="120"/>
      </w:pPr>
      <w:r>
        <w:t xml:space="preserve"/>
      </w:r>
    </w:p>
    <w:p>
      <w:pPr>
        <w:pStyle w:val="Heading2"/>
        <w:spacing w:after="140" w:before="280"/>
      </w:pPr>
      <w:r>
        <w:rPr>
          <w:b/>
          <w:bCs/>
          <w:color w:val="0B1F3A"/>
        </w:rPr>
        <w:t xml:space="preserve">Module 3 — Functions, Type Hints, and Why Tool Names Look the Way They Do (60 min)</w:t>
      </w:r>
    </w:p>
    <w:p>
      <w:pPr>
        <w:spacing w:after="140" w:line="300"/>
      </w:pPr>
      <w:r>
        <w:rPr>
          <w:b/>
          <w:bCs/>
          <w:color w:val="0B1F3A"/>
        </w:rPr>
        <w:t xml:space="preserve">Goal: </w:t>
      </w:r>
      <w:r>
        <w:t xml:space="preserve">Read function definitions; understand that tools = functions.</w:t>
      </w:r>
    </w:p>
    <w:p>
      <w:pPr>
        <w:spacing w:after="60"/>
      </w:pPr>
      <w:r>
        <w:rPr>
          <w:b/>
          <w:bCs/>
          <w:color w:val="0B1F3A"/>
        </w:rPr>
        <w:t xml:space="preserve">Cover:</w:t>
      </w:r>
    </w:p>
    <w:p>
      <w:pPr>
        <w:pStyle w:val="ListParagraph"/>
        <w:numPr>
          <w:ilvl w:val="0"/>
          <w:numId w:val="2"/>
        </w:numPr>
        <w:spacing w:after="80" w:line="280"/>
      </w:pPr>
      <w:r>
        <w:t xml:space="preserve">def function_name(arg1, arg2): and return</w:t>
      </w:r>
    </w:p>
    <w:p>
      <w:pPr>
        <w:pStyle w:val="ListParagraph"/>
        <w:numPr>
          <w:ilvl w:val="0"/>
          <w:numId w:val="2"/>
        </w:numPr>
        <w:spacing w:after="80" w:line="280"/>
      </w:pPr>
      <w:r>
        <w:t xml:space="preserve">Type hints: def get_customer(customer_id: str) -&gt; dict:</w:t>
      </w:r>
    </w:p>
    <w:p>
      <w:pPr>
        <w:pStyle w:val="ListParagraph"/>
        <w:numPr>
          <w:ilvl w:val="0"/>
          <w:numId w:val="2"/>
        </w:numPr>
        <w:spacing w:after="80" w:line="280"/>
      </w:pPr>
      <w:r>
        <w:t xml:space="preserve">Default parameters: def search(query, limit=10):</w:t>
      </w:r>
    </w:p>
    <w:p>
      <w:pPr>
        <w:pStyle w:val="ListParagraph"/>
        <w:numPr>
          <w:ilvl w:val="0"/>
          <w:numId w:val="2"/>
        </w:numPr>
        <w:spacing w:after="80" w:line="280"/>
      </w:pPr>
      <w:r>
        <w:t xml:space="preserve">Docstrings as tool descriptions (the bridge to the exam)</w:t>
      </w:r>
    </w:p>
    <w:p>
      <w:pPr>
        <w:pStyle w:val="ListParagraph"/>
        <w:numPr>
          <w:ilvl w:val="0"/>
          <w:numId w:val="2"/>
        </w:numPr>
        <w:spacing w:after="80" w:line="280"/>
      </w:pPr>
      <w:r>
        <w:t xml:space="preserve">Why every tool name is snake_case and starts with a verb</w:t>
      </w:r>
    </w:p>
    <w:p>
      <w:pPr>
        <w:spacing w:after="100" w:before="120"/>
      </w:pPr>
      <w:r>
        <w:rPr>
          <w:b/>
          <w:bCs/>
          <w:color w:val="1E7B7B"/>
        </w:rPr>
        <w:t xml:space="preserve">Exam connection: </w:t>
      </w:r>
      <w:r>
        <w:t xml:space="preserve">Domain 2.1 — “Design effective tool interfaces with clear descriptions and boundaries” — directly tests whether the candidate understands that tool docstrings are how Claude selects tools. The Python construct IS the exam concept.</w:t>
      </w:r>
    </w:p>
    <w:p>
      <w:pPr>
        <w:spacing w:after="140" w:line="300"/>
      </w:pPr>
      <w:r>
        <w:rPr>
          <w:b/>
          <w:bCs/>
          <w:color w:val="1E7B7B"/>
        </w:rPr>
        <w:t xml:space="preserve">Teaching mode: </w:t>
      </w:r>
      <w:r>
        <w:t xml:space="preserve">Show a poorly-described tool (def analyze_content(text)) next to a well-described one with type hints and a docstring. Ask: “which one would Claude choose correctly?” Padawans have now internalized Domain 2 through Python syntax.</w:t>
      </w:r>
    </w:p>
    <w:p>
      <w:pPr>
        <w:pBdr>
          <w:bottom w:val="single" w:color="C9A227" w:sz="8" w:space="4"/>
        </w:pBdr>
        <w:spacing w:after="240" w:before="120"/>
      </w:pPr>
      <w:r>
        <w:t xml:space="preserve"/>
      </w:r>
    </w:p>
    <w:p>
      <w:pPr>
        <w:pStyle w:val="Heading2"/>
        <w:spacing w:after="140" w:before="280"/>
      </w:pPr>
      <w:r>
        <w:rPr>
          <w:b/>
          <w:bCs/>
          <w:color w:val="0B1F3A"/>
        </w:rPr>
        <w:t xml:space="preserve">Module 4 — Control Flow and The Agentic Loop (60 min)</w:t>
      </w:r>
    </w:p>
    <w:p>
      <w:pPr>
        <w:spacing w:after="140" w:line="300"/>
      </w:pPr>
      <w:r>
        <w:rPr>
          <w:b/>
          <w:bCs/>
          <w:color w:val="0B1F3A"/>
        </w:rPr>
        <w:t xml:space="preserve">Goal: </w:t>
      </w:r>
      <w:r>
        <w:t xml:space="preserve">Recognize that “the agentic loop” is literally a while loop with an if statement inside.</w:t>
      </w:r>
    </w:p>
    <w:p>
      <w:pPr>
        <w:spacing w:after="60"/>
      </w:pPr>
      <w:r>
        <w:rPr>
          <w:b/>
          <w:bCs/>
          <w:color w:val="0B1F3A"/>
        </w:rPr>
        <w:t xml:space="preserve">Cover:</w:t>
      </w:r>
    </w:p>
    <w:p>
      <w:pPr>
        <w:pStyle w:val="ListParagraph"/>
        <w:numPr>
          <w:ilvl w:val="0"/>
          <w:numId w:val="2"/>
        </w:numPr>
        <w:spacing w:after="80" w:line="280"/>
      </w:pPr>
      <w:r>
        <w:t xml:space="preserve">if / elif / else</w:t>
      </w:r>
    </w:p>
    <w:p>
      <w:pPr>
        <w:pStyle w:val="ListParagraph"/>
        <w:numPr>
          <w:ilvl w:val="0"/>
          <w:numId w:val="2"/>
        </w:numPr>
        <w:spacing w:after="80" w:line="280"/>
      </w:pPr>
      <w:r>
        <w:t xml:space="preserve">while loops and loop termination</w:t>
      </w:r>
    </w:p>
    <w:p>
      <w:pPr>
        <w:pStyle w:val="ListParagraph"/>
        <w:numPr>
          <w:ilvl w:val="0"/>
          <w:numId w:val="2"/>
        </w:numPr>
        <w:spacing w:after="80" w:line="280"/>
      </w:pPr>
      <w:r>
        <w:t xml:space="preserve">The big reveal — show the pattern and watch the lights come on</w:t>
      </w:r>
    </w:p>
    <w:p>
      <w:pPr>
        <w:pStyle w:val="ListParagraph"/>
        <w:numPr>
          <w:ilvl w:val="0"/>
          <w:numId w:val="2"/>
        </w:numPr>
        <w:spacing w:after="80" w:line="280"/>
      </w:pPr>
      <w:r>
        <w:t xml:space="preserve">break and continue</w:t>
      </w:r>
    </w:p>
    <w:p>
      <w:pPr>
        <w:pStyle w:val="ListParagraph"/>
        <w:numPr>
          <w:ilvl w:val="0"/>
          <w:numId w:val="2"/>
        </w:numPr>
        <w:spacing w:after="80" w:line="280"/>
      </w:pPr>
      <w:r>
        <w:t xml:space="preserve">for loops (briefly — they show up in iteration over results)</w:t>
      </w:r>
    </w:p>
    <w:p>
      <w:pPr>
        <w:spacing w:after="100" w:before="120"/>
      </w:pPr>
      <w:r>
        <w:rPr>
          <w:b/>
          <w:bCs/>
          <w:color w:val="1E7B7B"/>
        </w:rPr>
        <w:t xml:space="preserve">Exam connection: </w:t>
      </w:r>
      <w:r>
        <w:t xml:space="preserve">Domain 1.1 — “Design and implement agentic loops for autonomous task execution” (part of Domain 1’s 27% weight). This is THE central concept of the entire exam. Every sample question about agentic architecture maps back to understanding this loop. This module is the highest-leverage 60 minutes of the entire lesson.</w:t>
      </w:r>
    </w:p>
    <w:p>
      <w:pPr>
        <w:spacing w:after="140" w:line="300"/>
      </w:pPr>
      <w:r>
        <w:rPr>
          <w:b/>
          <w:bCs/>
          <w:color w:val="1E7B7B"/>
        </w:rPr>
        <w:t xml:space="preserve">Teaching mode: </w:t>
      </w:r>
      <w:r>
        <w:t xml:space="preserve">Walk through the agentic loop pseudocode from the exam guide line-by-line. Then show what it looks like in the actual Anthropic SDK:</w:t>
      </w:r>
    </w:p>
    <w:p>
      <w:pPr>
        <w:shd w:fill="F2F2F2" w:val="clear"/>
        <w:spacing w:after="0" w:before="80" w:line="260"/>
        <w:ind w:left="360" w:right="360"/>
      </w:pPr>
      <w:r>
        <w:rPr>
          <w:rFonts w:ascii="Consolas" w:cs="Consolas" w:eastAsia="Consolas" w:hAnsi="Consolas"/>
          <w:color w:val="0B1F3A"/>
          <w:sz w:val="20"/>
          <w:szCs w:val="20"/>
        </w:rPr>
        <w:t xml:space="preserve">while response.stop_reason == "tool_use":</w:t>
      </w:r>
    </w:p>
    <w:p>
      <w:pPr>
        <w:shd w:fill="F2F2F2" w:val="clear"/>
        <w:spacing w:after="0" w:before="0" w:line="260"/>
        <w:ind w:left="360" w:right="360"/>
      </w:pPr>
      <w:r>
        <w:rPr>
          <w:rFonts w:ascii="Consolas" w:cs="Consolas" w:eastAsia="Consolas" w:hAnsi="Consolas"/>
          <w:color w:val="0B1F3A"/>
          <w:sz w:val="20"/>
          <w:szCs w:val="20"/>
        </w:rPr>
        <w:t xml:space="preserve">    tool_result = execute_tool(response)</w:t>
      </w:r>
    </w:p>
    <w:p>
      <w:pPr>
        <w:shd w:fill="F2F2F2" w:val="clear"/>
        <w:spacing w:after="0" w:before="0" w:line="260"/>
        <w:ind w:left="360" w:right="360"/>
      </w:pPr>
      <w:r>
        <w:rPr>
          <w:rFonts w:ascii="Consolas" w:cs="Consolas" w:eastAsia="Consolas" w:hAnsi="Consolas"/>
          <w:color w:val="0B1F3A"/>
          <w:sz w:val="20"/>
          <w:szCs w:val="20"/>
        </w:rPr>
        <w:t xml:space="preserve">    response = claude.messages.create(...)</w:t>
      </w:r>
    </w:p>
    <w:p>
      <w:pPr>
        <w:shd w:fill="F2F2F2" w:val="clear"/>
        <w:spacing w:after="100" w:before="0" w:line="260"/>
        <w:ind w:left="360" w:right="360"/>
      </w:pPr>
      <w:r>
        <w:rPr>
          <w:rFonts w:ascii="Consolas" w:cs="Consolas" w:eastAsia="Consolas" w:hAnsi="Consolas"/>
          <w:color w:val="0B1F3A"/>
          <w:sz w:val="20"/>
          <w:szCs w:val="20"/>
        </w:rPr>
        <w:t xml:space="preserve"># loop exits when stop_reason == "end_turn"</w:t>
      </w:r>
    </w:p>
    <w:p>
      <w:pPr>
        <w:spacing w:after="140" w:line="300"/>
      </w:pPr>
      <w:r>
        <w:t xml:space="preserve">Then ask: “what happens if stop_reason is never end_turn?” That is an exam question waiting to happen.</w:t>
      </w:r>
    </w:p>
    <w:p>
      <w:pPr>
        <w:pBdr>
          <w:bottom w:val="single" w:color="C9A227" w:sz="8" w:space="4"/>
        </w:pBdr>
        <w:spacing w:after="240" w:before="120"/>
      </w:pPr>
      <w:r>
        <w:t xml:space="preserve"/>
      </w:r>
    </w:p>
    <w:p>
      <w:pPr>
        <w:pStyle w:val="Heading2"/>
        <w:spacing w:after="140" w:before="280"/>
      </w:pPr>
      <w:r>
        <w:rPr>
          <w:b/>
          <w:bCs/>
          <w:color w:val="0B1F3A"/>
        </w:rPr>
        <w:t xml:space="preserve">Module 5 — Decorators, Imports, and Pydantic (75 min)</w:t>
      </w:r>
    </w:p>
    <w:p>
      <w:pPr>
        <w:spacing w:after="140" w:line="300"/>
      </w:pPr>
      <w:r>
        <w:rPr>
          <w:b/>
          <w:bCs/>
          <w:color w:val="0B1F3A"/>
        </w:rPr>
        <w:t xml:space="preserve">Goal: </w:t>
      </w:r>
      <w:r>
        <w:t xml:space="preserve">Recognize (not write) the patterns that dominate MCP server code and structured output examples.</w:t>
      </w:r>
    </w:p>
    <w:p>
      <w:pPr>
        <w:spacing w:after="60"/>
      </w:pPr>
      <w:r>
        <w:rPr>
          <w:b/>
          <w:bCs/>
          <w:color w:val="0B1F3A"/>
        </w:rPr>
        <w:t xml:space="preserve">Cover:</w:t>
      </w:r>
    </w:p>
    <w:p>
      <w:pPr>
        <w:pStyle w:val="ListParagraph"/>
        <w:numPr>
          <w:ilvl w:val="0"/>
          <w:numId w:val="2"/>
        </w:numPr>
        <w:spacing w:after="80" w:line="280"/>
      </w:pPr>
      <w:r>
        <w:t xml:space="preserve">import statements — what they’re doing, why every file starts with them</w:t>
      </w:r>
    </w:p>
    <w:p>
      <w:pPr>
        <w:pStyle w:val="ListParagraph"/>
        <w:numPr>
          <w:ilvl w:val="0"/>
          <w:numId w:val="2"/>
        </w:numPr>
        <w:spacing w:after="80" w:line="280"/>
      </w:pPr>
      <w:r>
        <w:t xml:space="preserve">Decorators: what @something above a function means</w:t>
      </w:r>
    </w:p>
    <w:p>
      <w:pPr>
        <w:pStyle w:val="ListParagraph"/>
        <w:numPr>
          <w:ilvl w:val="0"/>
          <w:numId w:val="2"/>
        </w:numPr>
        <w:spacing w:after="80" w:line="280"/>
      </w:pPr>
      <w:r>
        <w:t xml:space="preserve">The MCP pattern: @server.tool() above a function = “this is a tool”</w:t>
      </w:r>
    </w:p>
    <w:p>
      <w:pPr>
        <w:pStyle w:val="ListParagraph"/>
        <w:numPr>
          <w:ilvl w:val="0"/>
          <w:numId w:val="2"/>
        </w:numPr>
        <w:spacing w:after="80" w:line="280"/>
      </w:pPr>
      <w:r>
        <w:t xml:space="preserve">Pydantic BaseModel: schema validation in ten lines</w:t>
      </w:r>
    </w:p>
    <w:p>
      <w:pPr>
        <w:pStyle w:val="ListParagraph"/>
        <w:numPr>
          <w:ilvl w:val="0"/>
          <w:numId w:val="2"/>
        </w:numPr>
        <w:spacing w:after="80" w:line="280"/>
      </w:pPr>
      <w:r>
        <w:t xml:space="preserve">The connection: Pydantic models are how Python defines JSON schemas without writing JSON</w:t>
      </w:r>
    </w:p>
    <w:p>
      <w:pPr>
        <w:spacing w:after="100" w:before="120"/>
      </w:pPr>
      <w:r>
        <w:rPr>
          <w:b/>
          <w:bCs/>
          <w:color w:val="1E7B7B"/>
        </w:rPr>
        <w:t xml:space="preserve">Exam connection: </w:t>
      </w:r>
      <w:r>
        <w:t xml:space="preserve">Domain 2.4 (MCP server config), Domain 4.3 (Enforce structured output using tool use and JSON schemas), and Domain 4.4 (Validation, retry, and feedback loops). Roughly 25% of the exam touches these concepts.</w:t>
      </w:r>
    </w:p>
    <w:p>
      <w:pPr>
        <w:spacing w:after="140" w:line="300"/>
      </w:pPr>
      <w:r>
        <w:rPr>
          <w:b/>
          <w:bCs/>
          <w:color w:val="1E7B7B"/>
        </w:rPr>
        <w:t xml:space="preserve">Teaching mode: </w:t>
      </w:r>
      <w:r>
        <w:t xml:space="preserve">Side-by-side. Left column: raw JSON schema written by hand. Right column: same schema as a Pydantic model. Same result, vastly different effort. That contrast IS the lesson.</w:t>
      </w:r>
    </w:p>
    <w:p>
      <w:pPr>
        <w:pBdr>
          <w:bottom w:val="single" w:color="C9A227" w:sz="8" w:space="4"/>
        </w:pBdr>
        <w:spacing w:after="240" w:before="120"/>
      </w:pPr>
      <w:r>
        <w:t xml:space="preserve"/>
      </w:r>
    </w:p>
    <w:p>
      <w:pPr>
        <w:pStyle w:val="Heading2"/>
        <w:spacing w:after="140" w:before="280"/>
      </w:pPr>
      <w:r>
        <w:rPr>
          <w:b/>
          <w:bCs/>
          <w:color w:val="0B1F3A"/>
        </w:rPr>
        <w:t xml:space="preserve">Module 6 — Reading Real Anthropic SDK Code (60 min)</w:t>
      </w:r>
    </w:p>
    <w:p>
      <w:pPr>
        <w:spacing w:after="140" w:line="300"/>
      </w:pPr>
      <w:r>
        <w:rPr>
          <w:b/>
          <w:bCs/>
          <w:color w:val="0B1F3A"/>
        </w:rPr>
        <w:t xml:space="preserve">Goal: </w:t>
      </w:r>
      <w:r>
        <w:t xml:space="preserve">Take everything from Modules 1–5 and apply it to actual code from the Skilljar courses and exam guide.</w:t>
      </w:r>
    </w:p>
    <w:p>
      <w:pPr>
        <w:spacing w:after="60"/>
      </w:pPr>
      <w:r>
        <w:rPr>
          <w:b/>
          <w:bCs/>
          <w:color w:val="0B1F3A"/>
        </w:rPr>
        <w:t xml:space="preserve">Cover:</w:t>
      </w:r>
    </w:p>
    <w:p>
      <w:pPr>
        <w:pStyle w:val="ListParagraph"/>
        <w:numPr>
          <w:ilvl w:val="0"/>
          <w:numId w:val="2"/>
        </w:numPr>
        <w:spacing w:after="80" w:line="280"/>
      </w:pPr>
      <w:r>
        <w:t xml:space="preserve">A complete agent loop in Python — end to end</w:t>
      </w:r>
    </w:p>
    <w:p>
      <w:pPr>
        <w:pStyle w:val="ListParagraph"/>
        <w:numPr>
          <w:ilvl w:val="0"/>
          <w:numId w:val="2"/>
        </w:numPr>
        <w:spacing w:after="80" w:line="280"/>
      </w:pPr>
      <w:r>
        <w:t xml:space="preserve">An MCP server skeleton with one tool defined</w:t>
      </w:r>
    </w:p>
    <w:p>
      <w:pPr>
        <w:pStyle w:val="ListParagraph"/>
        <w:numPr>
          <w:ilvl w:val="0"/>
          <w:numId w:val="2"/>
        </w:numPr>
        <w:spacing w:after="80" w:line="280"/>
      </w:pPr>
      <w:r>
        <w:t xml:space="preserve">A structured extraction example with Pydantic</w:t>
      </w:r>
    </w:p>
    <w:p>
      <w:pPr>
        <w:pStyle w:val="ListParagraph"/>
        <w:numPr>
          <w:ilvl w:val="0"/>
          <w:numId w:val="2"/>
        </w:numPr>
        <w:spacing w:after="80" w:line="280"/>
      </w:pPr>
      <w:r>
        <w:t xml:space="preserve">The async/await mention — “you will see this. It means the function is doing network work. You don’t need to write it; just don’t get scared by it.”</w:t>
      </w:r>
    </w:p>
    <w:p>
      <w:pPr>
        <w:spacing w:after="100" w:before="120"/>
      </w:pPr>
      <w:r>
        <w:rPr>
          <w:b/>
          <w:bCs/>
          <w:color w:val="1E7B7B"/>
        </w:rPr>
        <w:t xml:space="preserve">Exam connection: </w:t>
      </w:r>
      <w:r>
        <w:t xml:space="preserve">Every domain. This is the integration module — by the end, the cohort should be able to look at any code sample in the exam guide and understand what it is doing, even if they couldn’t write it themselves.</w:t>
      </w:r>
    </w:p>
    <w:p>
      <w:pPr>
        <w:spacing w:after="140" w:line="300"/>
      </w:pPr>
      <w:r>
        <w:rPr>
          <w:b/>
          <w:bCs/>
          <w:color w:val="1E7B7B"/>
        </w:rPr>
        <w:t xml:space="preserve">Teaching mode: </w:t>
      </w:r>
      <w:r>
        <w:t xml:space="preserve">Pure code-walking. Open the exam guide sample questions live, walk through each Python snippet, have padawans predict what happens. No new concepts — consolidation only.</w:t>
      </w:r>
    </w:p>
    <w:p>
      <w:pPr>
        <w:pBdr>
          <w:bottom w:val="single" w:color="C9A227" w:sz="8" w:space="4"/>
        </w:pBdr>
        <w:spacing w:after="240" w:before="120"/>
      </w:pPr>
      <w:r>
        <w:t xml:space="preserve"/>
      </w:r>
    </w:p>
    <w:p>
      <w:pPr>
        <w:pStyle w:val="Heading1"/>
        <w:spacing w:after="180" w:before="360"/>
      </w:pPr>
      <w:r>
        <w:rPr>
          <w:b/>
          <w:bCs/>
          <w:color w:val="0B1F3A"/>
        </w:rPr>
        <w:t xml:space="preserve">What to skip — equally important</w:t>
      </w:r>
    </w:p>
    <w:p>
      <w:pPr>
        <w:spacing w:after="140" w:line="300"/>
      </w:pPr>
      <w:r>
        <w:t xml:space="preserve">The instinct as a backend engineer will be to teach more Python than necessary. The cut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tcPr>
          <w:p>
            <w:r>
              <w:rPr>
                <w:b/>
                <w:bCs/>
                <w:color w:val="FFFFFF"/>
              </w:rPr>
              <w:t xml:space="preserve">Cut</w:t>
            </w:r>
          </w:p>
        </w:tc>
        <w:tc>
          <w:tcPr>
            <w:tcW w:type="dxa" w:w="5160"/>
            <w:tcBorders>
              <w:top w:val="single" w:color="0B1F3A" w:sz="4"/>
              <w:left w:val="single" w:color="0B1F3A" w:sz="4"/>
              <w:bottom w:val="single" w:color="0B1F3A" w:sz="4"/>
              <w:right w:val="single" w:color="0B1F3A" w:sz="4"/>
            </w:tcBorders>
            <w:shd w:fill="0B1F3A" w:val="clear"/>
            <w:tcMar>
              <w:top w:type="dxa" w:w="100"/>
              <w:left w:type="dxa" w:w="140"/>
              <w:bottom w:type="dxa" w:w="100"/>
              <w:right w:type="dxa" w:w="140"/>
            </w:tcMar>
          </w:tcPr>
          <w:p>
            <w:r>
              <w:rPr>
                <w:b/>
                <w:bCs/>
                <w:color w:val="FFFFFF"/>
              </w:rPr>
              <w:t xml:space="preserve">Why</w:t>
            </w:r>
          </w:p>
        </w:tc>
      </w:tr>
      <w:tr>
        <w:tc>
          <w:tcPr>
            <w:tcW w:type="dxa" w:w="42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rPr>
              <w:t xml:space="preserve">Virtual environments, pip, package management</w:t>
            </w:r>
          </w:p>
        </w:tc>
        <w:tc>
          <w:tcPr>
            <w:tcW w:type="dxa" w:w="516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Skilljar handles environments for the student</w:t>
            </w:r>
          </w:p>
        </w:tc>
      </w:tr>
      <w:tr>
        <w:tc>
          <w:tcPr>
            <w:tcW w:type="dxa" w:w="4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rPr>
              <w:t xml:space="preserve">Object-oriented programming depth</w:t>
            </w:r>
          </w:p>
        </w:tc>
        <w:tc>
          <w:tcPr>
            <w:tcW w:type="dxa" w:w="51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They need to recognize a class, not design one</w:t>
            </w:r>
          </w:p>
        </w:tc>
      </w:tr>
      <w:tr>
        <w:tc>
          <w:tcPr>
            <w:tcW w:type="dxa" w:w="42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rPr>
              <w:t xml:space="preserve">Async / await beyond recognition</w:t>
            </w:r>
          </w:p>
        </w:tc>
        <w:tc>
          <w:tcPr>
            <w:tcW w:type="dxa" w:w="516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Mention it exists; do not go deep. The exam does not test it.</w:t>
            </w:r>
          </w:p>
        </w:tc>
      </w:tr>
      <w:tr>
        <w:tc>
          <w:tcPr>
            <w:tcW w:type="dxa" w:w="4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rPr>
              <w:t xml:space="preserve">Web frameworks (Flask, FastAPI, Django)</w:t>
            </w:r>
          </w:p>
        </w:tc>
        <w:tc>
          <w:tcPr>
            <w:tcW w:type="dxa" w:w="51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Irrelevant to CCA-F</w:t>
            </w:r>
          </w:p>
        </w:tc>
      </w:tr>
      <w:tr>
        <w:tc>
          <w:tcPr>
            <w:tcW w:type="dxa" w:w="42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rPr>
              <w:t xml:space="preserve">Testing frameworks (pytest, unittest)</w:t>
            </w:r>
          </w:p>
        </w:tc>
        <w:tc>
          <w:tcPr>
            <w:tcW w:type="dxa" w:w="516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Not tested</w:t>
            </w:r>
          </w:p>
        </w:tc>
      </w:tr>
      <w:tr>
        <w:tc>
          <w:tcPr>
            <w:tcW w:type="dxa" w:w="4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rPr>
              <w:t xml:space="preserve">Type system depth (Generics, Protocols, Union types)</w:t>
            </w:r>
          </w:p>
        </w:tc>
        <w:tc>
          <w:tcPr>
            <w:tcW w:type="dxa" w:w="51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Recognition only</w:t>
            </w:r>
          </w:p>
        </w:tc>
      </w:tr>
      <w:tr>
        <w:tc>
          <w:tcPr>
            <w:tcW w:type="dxa" w:w="420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rPr>
                <w:b/>
                <w:bCs/>
              </w:rPr>
              <w:t xml:space="preserve">Metaclasses, descriptors, advanced language features</w:t>
            </w:r>
          </w:p>
        </w:tc>
        <w:tc>
          <w:tcPr>
            <w:tcW w:type="dxa" w:w="5160"/>
            <w:tcBorders>
              <w:top w:val="single" w:color="CCCCCC" w:sz="4"/>
              <w:left w:val="single" w:color="CCCCCC" w:sz="4"/>
              <w:bottom w:val="single" w:color="CCCCCC" w:sz="4"/>
              <w:right w:val="single" w:color="CCCCCC" w:sz="4"/>
            </w:tcBorders>
            <w:shd w:fill="DCEAEA" w:val="clear"/>
            <w:tcMar>
              <w:top w:type="dxa" w:w="90"/>
              <w:left w:type="dxa" w:w="140"/>
              <w:bottom w:type="dxa" w:w="90"/>
              <w:right w:type="dxa" w:w="140"/>
            </w:tcMar>
          </w:tcPr>
          <w:p>
            <w:r>
              <w:t xml:space="preserve">Never tested</w:t>
            </w:r>
          </w:p>
        </w:tc>
      </w:tr>
      <w:tr>
        <w:tc>
          <w:tcPr>
            <w:tcW w:type="dxa" w:w="42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b/>
                <w:bCs/>
              </w:rPr>
              <w:t xml:space="preserve">Performance optimization, profiling</w:t>
            </w:r>
          </w:p>
        </w:tc>
        <w:tc>
          <w:tcPr>
            <w:tcW w:type="dxa" w:w="516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t xml:space="preserve">Not tested</w:t>
            </w:r>
          </w:p>
        </w:tc>
      </w:tr>
    </w:tbl>
    <w:p>
      <w:pPr>
        <w:spacing w:before="160"/>
      </w:pPr>
      <w:r>
        <w:rPr>
          <w:color w:val="1A1A1A"/>
        </w:rPr>
        <w:t xml:space="preserve">The temptation to include “just one quick aside on classes” or “a brief mention of async patterns” will be real. </w:t>
      </w:r>
      <w:r>
        <w:rPr>
          <w:b/>
          <w:bCs/>
          <w:color w:val="0B1F3A"/>
        </w:rPr>
        <w:t xml:space="preserve">Resist. </w:t>
      </w:r>
      <w:r>
        <w:t xml:space="preserve">Every minute spent on a topic that doesn’t appear in the exam guide or Skilljar prerequisites is a minute the cohort isn’t spending on what they actually need.</w:t>
      </w:r>
    </w:p>
    <w:p>
      <w:pPr>
        <w:pStyle w:val="Heading1"/>
        <w:spacing w:after="180" w:before="360"/>
      </w:pPr>
      <w:r>
        <w:rPr>
          <w:b/>
          <w:bCs/>
          <w:color w:val="0B1F3A"/>
        </w:rPr>
        <w:t xml:space="preserve">Where this lesson could fail</w:t>
      </w:r>
    </w:p>
    <w:p>
      <w:pPr>
        <w:spacing w:after="80" w:before="160" w:line="300"/>
      </w:pPr>
      <w:r>
        <w:rPr>
          <w:b/>
          <w:bCs/>
          <w:color w:val="C9A227"/>
        </w:rPr>
        <w:t xml:space="preserve">1. </w:t>
      </w:r>
      <w:r>
        <w:rPr>
          <w:b/>
          <w:bCs/>
          <w:color w:val="0B1F3A"/>
        </w:rPr>
        <w:t xml:space="preserve">The teacher teaches Python for engineers, not Python for readers.</w:t>
      </w:r>
    </w:p>
    <w:p>
      <w:pPr>
        <w:spacing w:after="140" w:line="300"/>
      </w:pPr>
      <w:r>
        <w:t xml:space="preserve">Backend experts tend to teach comprehensively. The cohort needs just enough. If after the lesson Bret can read a Python tool definition and explain what it does, the lesson succeeded. If Bret can write one from scratch, the teacher over-taught.</w:t>
      </w:r>
    </w:p>
    <w:p>
      <w:pPr>
        <w:spacing w:after="80" w:before="160" w:line="300"/>
      </w:pPr>
      <w:r>
        <w:rPr>
          <w:b/>
          <w:bCs/>
          <w:color w:val="C9A227"/>
        </w:rPr>
        <w:t xml:space="preserve">2. </w:t>
      </w:r>
      <w:r>
        <w:rPr>
          <w:b/>
          <w:bCs/>
          <w:color w:val="0B1F3A"/>
        </w:rPr>
        <w:t xml:space="preserve">The lesson is too long.</w:t>
      </w:r>
    </w:p>
    <w:p>
      <w:pPr>
        <w:spacing w:after="140" w:line="300"/>
      </w:pPr>
      <w:r>
        <w:t xml:space="preserve">Five hours is real. Spread it across two or three sessions or pair it with substantial breaks. Padawan attention falls off a cliff at the two-hour mark, especially for non-coders.</w:t>
      </w:r>
    </w:p>
    <w:p>
      <w:pPr>
        <w:spacing w:after="80" w:before="160" w:line="300"/>
      </w:pPr>
      <w:r>
        <w:rPr>
          <w:b/>
          <w:bCs/>
          <w:color w:val="C9A227"/>
        </w:rPr>
        <w:t xml:space="preserve">3. </w:t>
      </w:r>
      <w:r>
        <w:rPr>
          <w:b/>
          <w:bCs/>
          <w:color w:val="0B1F3A"/>
        </w:rPr>
        <w:t xml:space="preserve">The lesson runs in isolation from the Skilljar courses.</w:t>
      </w:r>
    </w:p>
    <w:p>
      <w:pPr>
        <w:spacing w:after="140" w:line="300"/>
      </w:pPr>
      <w:r>
        <w:t xml:space="preserve">Best sequencing: Modules 1–3 → padawans start Building with the Claude API on Skilljar → Modules 4–5 → padawans continue Skilljar → Module 6 wraps with code from courses they have now seen. Interleaved beats sequential.</w:t>
      </w:r>
    </w:p>
    <w:p>
      <w:pPr>
        <w:spacing w:after="80" w:before="160" w:line="300"/>
      </w:pPr>
      <w:r>
        <w:rPr>
          <w:b/>
          <w:bCs/>
          <w:color w:val="C9A227"/>
        </w:rPr>
        <w:t xml:space="preserve">4. </w:t>
      </w:r>
      <w:r>
        <w:rPr>
          <w:b/>
          <w:bCs/>
          <w:color w:val="0B1F3A"/>
        </w:rPr>
        <w:t xml:space="preserve">The lesson teaches Python without teaching the architecture context.</w:t>
      </w:r>
    </w:p>
    <w:p>
      <w:pPr>
        <w:spacing w:after="140" w:line="300"/>
      </w:pPr>
      <w:r>
        <w:t xml:space="preserve">The teacher’s biggest asset is backend systems experience. Each Python construct should be presented as “here is the syntax, here is why this matters for building AI systems.” That dual framing is what makes a backend expert a more valuable teacher than a generic Python instructor would be. Lean into it.</w:t>
      </w:r>
    </w:p>
    <w:p>
      <w:pPr>
        <w:pStyle w:val="Heading1"/>
        <w:spacing w:after="180" w:before="360"/>
      </w:pPr>
      <w:r>
        <w:rPr>
          <w:b/>
          <w:bCs/>
          <w:color w:val="0B1F3A"/>
        </w:rPr>
        <w:t xml:space="preserve">Higher-leverage alternative: record the lesson</w:t>
      </w:r>
    </w:p>
    <w:p>
      <w:pPr>
        <w:spacing w:after="140" w:line="300"/>
      </w:pPr>
      <w:r>
        <w:t xml:space="preserve">The cohort’s prep stack is now three layers:</w:t>
      </w:r>
    </w:p>
    <w:p>
      <w:pPr>
        <w:pStyle w:val="ListParagraph"/>
        <w:numPr>
          <w:ilvl w:val="0"/>
          <w:numId w:val="2"/>
        </w:numPr>
        <w:spacing w:after="80" w:line="280"/>
      </w:pPr>
      <w:r>
        <w:t xml:space="preserve">Mandi’s plugin (v1.1.0) — architecture concepts and exam simulation</w:t>
      </w:r>
    </w:p>
    <w:p>
      <w:pPr>
        <w:pStyle w:val="ListParagraph"/>
        <w:numPr>
          <w:ilvl w:val="0"/>
          <w:numId w:val="2"/>
        </w:numPr>
        <w:spacing w:after="80" w:line="280"/>
      </w:pPr>
      <w:r>
        <w:t xml:space="preserve">The Skilljar courses — canonical Anthropic content with hands-on Python exercises</w:t>
      </w:r>
    </w:p>
    <w:p>
      <w:pPr>
        <w:pStyle w:val="ListParagraph"/>
        <w:numPr>
          <w:ilvl w:val="0"/>
          <w:numId w:val="2"/>
        </w:numPr>
        <w:spacing w:after="80" w:line="280"/>
      </w:pPr>
      <w:r>
        <w:t xml:space="preserve">This Python lesson — the foundation that makes layer 2 ingestible</w:t>
      </w:r>
    </w:p>
    <w:p>
      <w:pPr>
        <w:spacing w:after="140" w:line="300"/>
      </w:pPr>
      <w:r>
        <w:rPr>
          <w:color w:val="1A1A1A"/>
        </w:rPr>
        <w:t xml:space="preserve">The most leveraged move isn’t just teaching this lesson once. </w:t>
      </w:r>
      <w:r>
        <w:rPr>
          <w:b/>
          <w:bCs/>
          <w:color w:val="0B1F3A"/>
        </w:rPr>
        <w:t xml:space="preserve">It’s recording it. </w:t>
      </w:r>
      <w:r>
        <w:t xml:space="preserve">If the teacher captures the five hours on video, it becomes reusable for future AJA cohorts, available for padawans who miss a session, a library asset for both UD and PQ going forward, and a potential offering inside the AJA as it scales beyond the founding cohort.</w:t>
      </w:r>
    </w:p>
    <w:p>
      <w:pPr>
        <w:spacing w:after="140" w:line="300"/>
      </w:pPr>
      <w:r>
        <w:rPr>
          <w:color w:val="555555"/>
        </w:rPr>
        <w:t xml:space="preserve">One-time delivery → 15 padawans benefit. </w:t>
      </w:r>
      <w:r>
        <w:rPr>
          <w:b/>
          <w:bCs/>
          <w:color w:val="0B1F3A"/>
        </w:rPr>
        <w:t xml:space="preserve">Recorded delivery → every future padawan benefits. </w:t>
      </w:r>
      <w:r>
        <w:rPr>
          <w:color w:val="1A1A1A"/>
        </w:rPr>
        <w:t xml:space="preserve">Same prep effort. Recommend strongly.</w:t>
      </w:r>
    </w:p>
    <w:p>
      <w:pPr>
        <w:pStyle w:val="Heading1"/>
        <w:spacing w:after="180" w:before="360"/>
      </w:pPr>
      <w:r>
        <w:rPr>
          <w:b/>
          <w:bCs/>
          <w:color w:val="0B1F3A"/>
        </w:rPr>
        <w:t xml:space="preserve">What to do this week, ranked</w:t>
      </w:r>
    </w:p>
    <w:p>
      <w:pPr>
        <w:pStyle w:val="ListParagraph"/>
        <w:numPr>
          <w:ilvl w:val="0"/>
          <w:numId w:val="3"/>
        </w:numPr>
        <w:spacing w:after="100" w:line="300"/>
      </w:pPr>
      <w:r>
        <w:t xml:space="preserve">Send this brief to your friend with the strategic framing intact — the “Python isn’t tested, Python is the doorway” reframe is the most important paragraph.</w:t>
      </w:r>
    </w:p>
    <w:p>
      <w:pPr>
        <w:pStyle w:val="ListParagraph"/>
        <w:numPr>
          <w:ilvl w:val="0"/>
          <w:numId w:val="3"/>
        </w:numPr>
        <w:spacing w:after="100" w:line="300"/>
      </w:pPr>
      <w:r>
        <w:t xml:space="preserve">Lock the lesson sequencing relative to Skilljar so the two interleave cleanly.</w:t>
      </w:r>
    </w:p>
    <w:p>
      <w:pPr>
        <w:pStyle w:val="ListParagraph"/>
        <w:numPr>
          <w:ilvl w:val="0"/>
          <w:numId w:val="3"/>
        </w:numPr>
        <w:spacing w:after="100" w:line="300"/>
      </w:pPr>
      <w:r>
        <w:t xml:space="preserve">Decide on recording — if yes, get the gear set up before session 1.</w:t>
      </w:r>
    </w:p>
    <w:p>
      <w:pPr>
        <w:pStyle w:val="ListParagraph"/>
        <w:numPr>
          <w:ilvl w:val="0"/>
          <w:numId w:val="3"/>
        </w:numPr>
        <w:spacing w:after="100" w:line="300"/>
      </w:pPr>
      <w:r>
        <w:t xml:space="preserve">Confirm with Russ that the Python lesson is added to the AJA calendar for Session 7+.</w:t>
      </w:r>
    </w:p>
    <w:p>
      <w:pPr>
        <w:spacing w:after="200"/>
      </w:pPr>
      <w:r>
        <w:t xml:space="preserve"/>
      </w:r>
    </w:p>
    <w:p>
      <w:pPr>
        <w:spacing w:after="100" w:before="200"/>
        <w:jc w:val="center"/>
      </w:pPr>
      <w:r>
        <w:rPr>
          <w:i/>
          <w:iCs/>
          <w:color w:val="C9A227"/>
          <w:sz w:val="22"/>
          <w:szCs w:val="22"/>
        </w:rPr>
        <w:t xml:space="preserve">May the Force be with the cohort.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1F3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B1F3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7B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for CCA-F Exam Preparation</dc:title>
  <dc:creator>Qui-Gon Don</dc:creator>
  <dc:description>AJA teaching brief</dc:description>
  <cp:lastModifiedBy>Un-named</cp:lastModifiedBy>
  <cp:revision>1</cp:revision>
  <dcterms:created xsi:type="dcterms:W3CDTF">2026-06-23T01:25:31.368Z</dcterms:created>
  <dcterms:modified xsi:type="dcterms:W3CDTF">2026-06-23T01:25:31.369Z</dcterms:modified>
</cp:coreProperties>
</file>

<file path=docProps/custom.xml><?xml version="1.0" encoding="utf-8"?>
<Properties xmlns="http://schemas.openxmlformats.org/officeDocument/2006/custom-properties" xmlns:vt="http://schemas.openxmlformats.org/officeDocument/2006/docPropsVTypes"/>
</file>