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rFonts w:ascii="Calibri" w:hAnsi="Calibri"/>
          <w:b/>
          <w:sz w:val="24"/>
        </w:rPr>
        <w:t xml:space="preserve">PMID: </w:t>
      </w:r>
      <w:r>
        <w:rPr>
          <w:rFonts w:ascii="Calibri" w:hAnsi="Calibri"/>
          <w:sz w:val="24"/>
        </w:rPr>
        <w:t>15887028</w:t>
      </w:r>
    </w:p>
    <w:p>
      <w:pPr>
        <w:spacing w:after="120"/>
      </w:pPr>
      <w:r>
        <w:rPr>
          <w:rFonts w:ascii="Calibri" w:hAnsi="Calibri"/>
          <w:b/>
          <w:sz w:val="24"/>
        </w:rPr>
        <w:t xml:space="preserve">Title: </w:t>
      </w:r>
      <w:r>
        <w:rPr>
          <w:rFonts w:ascii="Calibri" w:hAnsi="Calibri"/>
          <w:sz w:val="24"/>
        </w:rPr>
        <w:t>70 Gy or more: which dose for which prostate cancer?</w:t>
      </w:r>
    </w:p>
    <w:p>
      <w:pPr>
        <w:spacing w:after="360"/>
      </w:pPr>
      <w:r>
        <w:rPr>
          <w:rFonts w:ascii="Calibri" w:hAnsi="Calibri"/>
          <w:b/>
          <w:sz w:val="22"/>
        </w:rPr>
        <w:t xml:space="preserve">Abstract: </w:t>
      </w:r>
      <w:r>
        <w:rPr>
          <w:rFonts w:ascii="Calibri" w:hAnsi="Calibri"/>
          <w:sz w:val="22"/>
        </w:rPr>
        <w:t>INTRODUCTION: Radical prostatectomy and radiotherapy are currently accepted treatment modalities for localized prostate cancer. Regarding radiotherapy, current evidence suggests that favorable treatment outcome critically depends on adequate radiation doses. However, the exact role of dose in relation to the individual risk profile is complex. In order to evaluate available data on radiation dose response relationships, in prostate cancer, a thorough and critical literature analysis was performed. MATERIAL AND METHODS: Studies on dose response relationships from randomized trials, dose escalation trials, retrospective subgroup analyses and pooled data were identified by Pubmed and ISI web of sciences searches and were critically reviewed. RESULTS AND CONCLUSION: All available data suggest a clear dose response relationship for radiotherapy for localized prostate cancer. In low risk cases, most studies suggest that doses of 70-72 Gy are adequate. Dose escalations up to 78-80 Gy seem to be beneficial for intermediate risk patients. Due to confounding variables, the dose response curves for high-risk patients are less steep. The integration of dose escalation into a more comprehensive treatment protocol is difficult, since trials on the relative impact of either hormonal ablation or inclusion of adjuvant nodal regions on dose escalation are missing.</w:t>
      </w:r>
    </w:p>
    <w:p>
      <w:pPr>
        <w:spacing w:after="80" w:before="360"/>
      </w:pPr>
      <w:r>
        <w:rPr>
          <w:rFonts w:ascii="Calibri" w:hAnsi="Calibri"/>
          <w:b/>
          <w:sz w:val="24"/>
        </w:rPr>
        <w:t xml:space="preserve">PMID: </w:t>
      </w:r>
      <w:r>
        <w:rPr>
          <w:rFonts w:ascii="Calibri" w:hAnsi="Calibri"/>
          <w:sz w:val="24"/>
        </w:rPr>
        <w:t>25600860</w:t>
      </w:r>
    </w:p>
    <w:p>
      <w:pPr>
        <w:spacing w:after="120"/>
      </w:pPr>
      <w:r>
        <w:rPr>
          <w:rFonts w:ascii="Calibri" w:hAnsi="Calibri"/>
          <w:b/>
          <w:sz w:val="24"/>
        </w:rPr>
        <w:t xml:space="preserve">Title: </w:t>
      </w:r>
      <w:r>
        <w:rPr>
          <w:rFonts w:ascii="Calibri" w:hAnsi="Calibri"/>
          <w:sz w:val="24"/>
        </w:rPr>
        <w:t>Postoperative radiation therapy for patients at high-risk of recurrence after radical prostatectomy: does timing matter?</w:t>
      </w:r>
    </w:p>
    <w:p>
      <w:pPr>
        <w:spacing w:after="360"/>
      </w:pPr>
      <w:r>
        <w:rPr>
          <w:rFonts w:ascii="Calibri" w:hAnsi="Calibri"/>
          <w:b/>
          <w:sz w:val="22"/>
        </w:rPr>
        <w:t xml:space="preserve">Abstract: </w:t>
      </w:r>
      <w:r>
        <w:rPr>
          <w:rFonts w:ascii="Calibri" w:hAnsi="Calibri"/>
          <w:sz w:val="22"/>
        </w:rPr>
        <w:t>OBJECTIVE: To evaluate among radical prostatectomy (RP) patients at high-risk of recurrence whether the timing of postoperative radiation therapy (RT) (adjuvant, early salvage with detectable post-RP prostate-specific antigen [PSA], or 'late' salvage with a PSA level of &gt;1.0 ng/mL) is significantly associated with overall survival (OS), prostate-cancer specific survival or metastasis-free survival, in a longitudinal cohort. PATIENTS AND METHODS: Of 6 176 RP patients in the Cancer of the Prostate Strategic Urologic Research Endeavor (CaPSURE), 305 patients with high-risk pathological features (margin positivity, Gleason score 8-10, or pT3-4) who underwent postoperative RT were examined, either in the adjuvant (≤6 months after RP with undetectable PSA levels, 76 patients) or salvage setting (&gt;6 months after RP or pre-RT PSA level of &gt;0.1 ng/mL, 229 patients). Early (PSA level of ≤1.0 ng/mL, 180 patients) or late salvage RT (PSA level &gt;1.0 ng/mL, 49 patients) was based on post-RP, pre-RT PSA level. Multivariable Cox regression examined associations with all-cause mortality and prostate cancer-specific mortality and/or metastases (PCSMM). RESULTS: After a median of 74 months after RP, 65 men had died (with 37 events of PCSMM). Adjuvant and salvage RT patients had comparable high-risk features. Compared with adjuvant, salvage RT (early or late) had an increased association with all-cause mortality (hazard ratio [HR] 2.7, P = 0.018) and with PCSMM (HR 4.0, P = 0.015). PCSMM-free survival differed by further stratification of timing, with 10-year estimates of 88%, 84%, and 71% for adjuvant, early salvage, and late salvage RT, respectively (P = 0.026). For PCSMM-free survival and OS, compared with adjuvant RT, late salvage RT had statistically significantly increased risk; however, early salvage RT did not. CONCLUSION: This analysis suggests that patients who underwent early salvage RT with PSA levels of &lt;1.0 ng/mL may have comparable metastasis-free survival and OS compared with adjuvant RT; however, late salvage RT with a PSA level of &gt;1.0 ng/mL is associated with worse clinical outcomes.</w:t>
      </w:r>
    </w:p>
    <w:p>
      <w:pPr>
        <w:spacing w:after="80" w:before="360"/>
      </w:pPr>
      <w:r>
        <w:rPr>
          <w:rFonts w:ascii="Calibri" w:hAnsi="Calibri"/>
          <w:b/>
          <w:sz w:val="24"/>
        </w:rPr>
        <w:t xml:space="preserve">PMID: </w:t>
      </w:r>
      <w:r>
        <w:rPr>
          <w:rFonts w:ascii="Calibri" w:hAnsi="Calibri"/>
          <w:sz w:val="24"/>
        </w:rPr>
        <w:t>25729256</w:t>
      </w:r>
    </w:p>
    <w:p>
      <w:pPr>
        <w:spacing w:after="120"/>
      </w:pPr>
      <w:r>
        <w:rPr>
          <w:rFonts w:ascii="Calibri" w:hAnsi="Calibri"/>
          <w:b/>
          <w:sz w:val="24"/>
        </w:rPr>
        <w:t xml:space="preserve">Title: </w:t>
      </w:r>
      <w:r>
        <w:rPr>
          <w:rFonts w:ascii="Calibri" w:hAnsi="Calibri"/>
          <w:sz w:val="24"/>
        </w:rPr>
        <w:t>Comparison of pathological and biochemical outcomes after radical prostatectomy in Korean patients with serum PSA ranges</w:t>
      </w:r>
    </w:p>
    <w:p>
      <w:pPr>
        <w:spacing w:after="360"/>
      </w:pPr>
      <w:r>
        <w:rPr>
          <w:rFonts w:ascii="Calibri" w:hAnsi="Calibri"/>
          <w:b/>
          <w:sz w:val="22"/>
        </w:rPr>
        <w:t xml:space="preserve">Abstract: </w:t>
      </w:r>
      <w:r>
        <w:rPr>
          <w:rFonts w:ascii="Calibri" w:hAnsi="Calibri"/>
          <w:sz w:val="22"/>
        </w:rPr>
        <w:t>The aim of this study was to assess surgical outcome at radical prostatectomy (RP) in Korean men with a serum prostate-specific antigen (PSA) level of 2.5 to 3.0 ng/mL and compared with those of patients who had a PSA level of 3.0-4.0 and 4.0-10.0 ng/mL. We retrospectively compared clinico-pathological characteristics and biochemical recurrence (BCR) risk in patients with PSA level of 2.5-3.0 (group 1, n = 92, 5.7%), 3.0-4.0 (group 2, n = 283, 17.5%), or 4.0-10.0 ng/mL (group 3, n = 1,242, 76.8%) who underwent RP between 1995 and 2013. The pathologic characteristics including Gleason score, pathologic stage, and percentage of significant cancer in group 1 were similar to those in group 2 and group 3. Furthermore, pathological upgrading and upstaging were found in 23 (30.7%) and 10 (14.7%) in group 1, 84 (33.9%) and 19 (8.8%) in group 2, and 321 (32.8%) and 113 (12.8%) in group 3, respectively, with no significant differences among the three groups (all P &gt; 0.05). In multivariate analysis, PSA grouping was not an independent predictor of BCR. Within the population with PSA lower than 10 ng/mL, substratification of PSA is not a significant predictor for upgrading, upstaging, or adverse prognosis.</w:t>
      </w:r>
    </w:p>
    <w:p>
      <w:pPr>
        <w:spacing w:after="80" w:before="360"/>
      </w:pPr>
      <w:r>
        <w:rPr>
          <w:rFonts w:ascii="Calibri" w:hAnsi="Calibri"/>
          <w:b/>
          <w:sz w:val="24"/>
        </w:rPr>
        <w:t xml:space="preserve">PMID: </w:t>
      </w:r>
      <w:r>
        <w:rPr>
          <w:rFonts w:ascii="Calibri" w:hAnsi="Calibri"/>
          <w:sz w:val="24"/>
        </w:rPr>
        <w:t>25819287</w:t>
      </w:r>
    </w:p>
    <w:p>
      <w:pPr>
        <w:spacing w:after="120"/>
      </w:pPr>
      <w:r>
        <w:rPr>
          <w:rFonts w:ascii="Calibri" w:hAnsi="Calibri"/>
          <w:b/>
          <w:sz w:val="24"/>
        </w:rPr>
        <w:t xml:space="preserve">Title: </w:t>
      </w:r>
      <w:r>
        <w:rPr>
          <w:rFonts w:ascii="Calibri" w:hAnsi="Calibri"/>
          <w:sz w:val="24"/>
        </w:rPr>
        <w:t>Is high dose rate brachytherapy reliable and effective treatment for prostate cancer patients? A review of the literature</w:t>
      </w:r>
    </w:p>
    <w:p>
      <w:pPr>
        <w:spacing w:after="360"/>
      </w:pPr>
      <w:r>
        <w:rPr>
          <w:rFonts w:ascii="Calibri" w:hAnsi="Calibri"/>
          <w:b/>
          <w:sz w:val="22"/>
        </w:rPr>
        <w:t xml:space="preserve">Abstract: </w:t>
      </w:r>
      <w:r>
        <w:rPr>
          <w:rFonts w:ascii="Calibri" w:hAnsi="Calibri"/>
          <w:sz w:val="22"/>
        </w:rPr>
        <w:t>The intrinsic physical and radiobiological characteristics of High Dose Rate Brachytherapy (HDR-BT) are well suited to the treatment of prostate cancer. HDR-BT was initially used as a boost to external beam brachytherapy, but has subsequently been employed as the sole treatment, which is termed HDR monotherapy. This review summarizes the clinical outcomes and toxicity results of the principal studies and discusses the radiobiological basis supporting its use.</w:t>
      </w:r>
    </w:p>
    <w:p>
      <w:pPr>
        <w:spacing w:after="80" w:before="360"/>
      </w:pPr>
      <w:r>
        <w:rPr>
          <w:rFonts w:ascii="Calibri" w:hAnsi="Calibri"/>
          <w:b/>
          <w:sz w:val="24"/>
        </w:rPr>
        <w:t xml:space="preserve">PMID: </w:t>
      </w:r>
      <w:r>
        <w:rPr>
          <w:rFonts w:ascii="Calibri" w:hAnsi="Calibri"/>
          <w:sz w:val="24"/>
        </w:rPr>
        <w:t>26399602</w:t>
      </w:r>
    </w:p>
    <w:p>
      <w:pPr>
        <w:spacing w:after="120"/>
      </w:pPr>
      <w:r>
        <w:rPr>
          <w:rFonts w:ascii="Calibri" w:hAnsi="Calibri"/>
          <w:b/>
          <w:sz w:val="24"/>
        </w:rPr>
        <w:t xml:space="preserve">Title: </w:t>
      </w:r>
      <w:r>
        <w:rPr>
          <w:rFonts w:ascii="Calibri" w:hAnsi="Calibri"/>
          <w:sz w:val="24"/>
        </w:rPr>
        <w:t>Salvage radiation therapy following radical prostatectomy. A national Danish study</w:t>
      </w:r>
    </w:p>
    <w:p>
      <w:pPr>
        <w:spacing w:after="360"/>
      </w:pPr>
      <w:r>
        <w:rPr>
          <w:rFonts w:ascii="Calibri" w:hAnsi="Calibri"/>
          <w:b/>
          <w:sz w:val="22"/>
        </w:rPr>
        <w:t xml:space="preserve">Abstract: </w:t>
      </w:r>
      <w:r>
        <w:rPr>
          <w:rFonts w:ascii="Calibri" w:hAnsi="Calibri"/>
          <w:sz w:val="22"/>
        </w:rPr>
        <w:t>BACKGROUND: The purpose of this observational cohort study was to evaluate the outcome and prognostic factors following salvage radiotherapy (SRT) in a consecutive national cohort. MATERIAL AND METHODS: Between 2006 and 2010, 259 patients received SRT in Denmark. Patient- and cancer-related characteristics were retrospectively retrieved from patient charts. The primary end point was biochemical progression-free survival (b-PFS). RESULTS: At the end of follow-up, 51% of the patients displayed a prostate-specific antigen (PSA) level &lt;0.1 ng/ml. The three-year b-PFS rate for the total cohort was 57.0%. Nearly half of the patients (44%) received androgen deprivation therapy (ADT) in combination with SRT. Positive surgical tumour margins (p = 0.025) and ADT (p = 0.001) were the only markers independently correlated with b-PFS. In patients who received SRT without ADT, both a pre-SRT PSA level ≤0.5 ng/ml (p = 0.003) and pathological tumour stage T1-T2 (p = 0.036) independently correlated with b-PFS. Moreover, a duration between radical prostatectomy (RP) and SRT ≤29 months (p = 0.035) independently correlated with b-PFS in patients treated with ADT in combination with RT. CONCLUSIONS: In patients treated for biochemical failure after RP, positive surgical tumour margins and PSA levels ≤0.5 ng/mL at the time of SRT were associated with a favourable outcome. Despite less favourable tumour characteristics, patients receiving SRT and ADT demonstrated improved b-PFS, and in particular, patients with PSA levels &gt;0.2 ng/ml benefitted from additional ADT.</w:t>
      </w:r>
    </w:p>
    <w:p>
      <w:pPr>
        <w:spacing w:after="80" w:before="360"/>
      </w:pPr>
      <w:r>
        <w:rPr>
          <w:rFonts w:ascii="Calibri" w:hAnsi="Calibri"/>
          <w:b/>
          <w:sz w:val="24"/>
        </w:rPr>
        <w:t xml:space="preserve">PMID: </w:t>
      </w:r>
      <w:r>
        <w:rPr>
          <w:rFonts w:ascii="Calibri" w:hAnsi="Calibri"/>
          <w:sz w:val="24"/>
        </w:rPr>
        <w:t>26581143</w:t>
      </w:r>
    </w:p>
    <w:p>
      <w:pPr>
        <w:spacing w:after="120"/>
      </w:pPr>
      <w:r>
        <w:rPr>
          <w:rFonts w:ascii="Calibri" w:hAnsi="Calibri"/>
          <w:b/>
          <w:sz w:val="24"/>
        </w:rPr>
        <w:t xml:space="preserve">Title: </w:t>
      </w:r>
      <w:r>
        <w:rPr>
          <w:rFonts w:ascii="Calibri" w:hAnsi="Calibri"/>
          <w:sz w:val="24"/>
        </w:rPr>
        <w:t>Radical Prostatectomy Versus Radiation and Androgen Deprivation Therapy for Clinically Localized Prostate Cancer: How Good Is the Evidence?</w:t>
      </w:r>
    </w:p>
    <w:p>
      <w:pPr>
        <w:spacing w:after="360"/>
      </w:pPr>
      <w:r>
        <w:rPr>
          <w:rFonts w:ascii="Calibri" w:hAnsi="Calibri"/>
          <w:b/>
          <w:sz w:val="22"/>
        </w:rPr>
        <w:t xml:space="preserve">Abstract: </w:t>
      </w:r>
      <w:r>
        <w:rPr>
          <w:rFonts w:ascii="Calibri" w:hAnsi="Calibri"/>
          <w:sz w:val="22"/>
        </w:rPr>
        <w:t>PURPOSE: The optimal treatment of clinically localized prostate cancer is controversial. Most studies focus on biochemical (PSA) failure when comparing radical prostatectomy (RP) with radiation therapy (RT), but this endpoint has not been validated as predictive of overall survival (OS) or cause-specific survival (CSS). We analyzed the available literature to determine whether reliable conclusions could be made concerning the effectiveness of RP compared with RT with or without androgen deprivation therapy (ADT), assuming current treatment standards. METHODS: Articles published between February 29, 2004, and March 1, 2015, that compared OS and CSS after RP or RT with or without ADT were included. Because the GRADE (Grading of Recommendations, Assessment, Development, and Evaluation) system emphasis is on randomized controlled clinical trials, a reliability score (RS) was explored to further understand the issues associated with the study quality of observational studies, including appropriateness of treatment, source of data, clinical characteristics, and comorbidity. Lower RS values indicated lower reliability. RESULTS: Fourteen studies were identified, and 13 were completely evaluable. Thirteen of the 14 studies (93%) were observational studies with low-quality evidence. The median RS was 12 (range, 5-18); the median difference in 10-year OS and CSS favored RP over RT: 10% and 4%, respectively. In studies with a RS ≤12 (average RS 9) the 10-year OS and CSS median differences were 17% and 6%, respectively. For studies with a RS &gt;12 (average RS 15.5), the 10-year OS and CSS median differences were 5.5% and 1%, respectively. Thus, we observed an association between low RS and a higher percentage difference in OS and CSS. CONCLUSIONS: Reliable evidence that RP provides a superior CSS to RT with ADT is lacking. The most reliable studies suggest that the differences in 10-year CSS between RP and RT are small, possibly &lt;1%.</w:t>
      </w:r>
    </w:p>
    <w:p>
      <w:pPr>
        <w:spacing w:after="80" w:before="360"/>
      </w:pPr>
      <w:r>
        <w:rPr>
          <w:rFonts w:ascii="Calibri" w:hAnsi="Calibri"/>
          <w:b/>
          <w:sz w:val="24"/>
        </w:rPr>
        <w:t xml:space="preserve">PMID: </w:t>
      </w:r>
      <w:r>
        <w:rPr>
          <w:rFonts w:ascii="Calibri" w:hAnsi="Calibri"/>
          <w:sz w:val="24"/>
        </w:rPr>
        <w:t>31964317</w:t>
      </w:r>
    </w:p>
    <w:p>
      <w:pPr>
        <w:spacing w:after="120"/>
      </w:pPr>
      <w:r>
        <w:rPr>
          <w:rFonts w:ascii="Calibri" w:hAnsi="Calibri"/>
          <w:b/>
          <w:sz w:val="24"/>
        </w:rPr>
        <w:t xml:space="preserve">Title: </w:t>
      </w:r>
      <w:r>
        <w:rPr>
          <w:rFonts w:ascii="Calibri" w:hAnsi="Calibri"/>
          <w:sz w:val="24"/>
        </w:rPr>
        <w:t>Is "extreme" bladder neck preservation in robot-assisted radical prostatectomy a safe procedure?</w:t>
      </w:r>
    </w:p>
    <w:p>
      <w:pPr>
        <w:spacing w:after="360"/>
      </w:pPr>
      <w:r>
        <w:rPr>
          <w:rFonts w:ascii="Calibri" w:hAnsi="Calibri"/>
          <w:b/>
          <w:sz w:val="22"/>
        </w:rPr>
        <w:t xml:space="preserve">Abstract: </w:t>
      </w:r>
      <w:r>
        <w:rPr>
          <w:rFonts w:ascii="Calibri" w:hAnsi="Calibri"/>
          <w:sz w:val="22"/>
        </w:rPr>
        <w:t>INTRODUCTION: The aim was to investigate the surgical and pathological outcomes of an "extreme" bladder neck preservation in prostate cancer patients treated with robotic radical prostatectomy. The greatest concern about the "extreme" bladder neck preservation is the potential risk of creating a positive surgical margin at the level of bladder neck. MATERIALS AND METHODS: We prospectively collected data from 88 patients with diagnosed prostate cancer who underwent robotic radical prostatectomy with "'extreme' bladder neck preservation." All surgical procedures were performed by the same expert surgeon (F.D.M.). In this study, "'extreme' bladder neck preservation" was considered when the length of the spared intraprostatic segment of bladder neck was ⩾1 cm. We compared the histopathologic data with those of a homogeneous similar cohort of 88 consecutive patients who underwent robotic radical prostatectomy without bladder neck preservation. RESULTS: The two groups analyzed were comparable according to clinical and pathological characteristics. A positive surgical margin at the level of bladder neck was found in five (5.7%) cases in the "extreme" bladder neck preservation group and in six cases (6.8%) in the no-bladder neck preservation group. The prostatic base was involved by neoplasia in 14 and 19 patients (15.9% and 21.6%, respectively); of these, five (35.7%) and six (31.6%) had positive surgical margin at the level of bladder neck, respectively. The pathological staging in positive surgical margin at the level of bladder neck patients was pT3 in five (100%) cases in the "extreme" bladder neck preservation group and in four (66.7%) cases when we decided not to preserve the bladder neck. CONCLUSION: We demonstrated that "extreme" bladder neck preservation is a safe oncological procedure with similar pathologic findings of a comparable no-bladder neck preservation series. Positive surgical margins at the level of bladder neck are linked to neoplasia with adverse pathological features, rather than the "extreme" bladder neck preservation procedure.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