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A1A2E"/>
          <w:sz w:val="72"/>
          <w:szCs w:val="72"/>
        </w:rPr>
        <w:t xml:space="preserve">CENTAUR</w:t>
      </w:r>
    </w:p>
    <w:p>
      <w:pPr>
        <w:spacing w:after="200"/>
      </w:pPr>
      <w:r>
        <w:rPr>
          <w:rFonts w:ascii="Arial" w:cs="Arial" w:eastAsia="Arial" w:hAnsi="Arial"/>
          <w:b/>
          <w:bCs/>
          <w:color w:val="C0392B"/>
          <w:sz w:val="36"/>
          <w:szCs w:val="36"/>
        </w:rPr>
        <w:t xml:space="preserve">Applied Futures Scenario Scan</w:t>
      </w:r>
    </w:p>
    <w:p>
      <w:pPr>
        <w:spacing w:after="120"/>
      </w:pPr>
      <w:r>
        <w:rPr>
          <w:rFonts w:ascii="Arial" w:cs="Arial" w:eastAsia="Arial" w:hAnsi="Arial"/>
          <w:color w:val="555555"/>
          <w:sz w:val="28"/>
          <w:szCs w:val="28"/>
        </w:rPr>
        <w:t xml:space="preserve">3-5 Year Horizon  |  2026-2031</w:t>
      </w:r>
    </w:p>
    <w:p>
      <w:pPr>
        <w:spacing w:after="600"/>
      </w:pPr>
      <w:r>
        <w:rPr>
          <w:rFonts w:ascii="Arial" w:cs="Arial" w:eastAsia="Arial" w:hAnsi="Arial"/>
          <w:i/>
          <w:iCs/>
          <w:color w:val="555555"/>
          <w:sz w:val="22"/>
          <w:szCs w:val="22"/>
        </w:rPr>
        <w:t xml:space="preserve">A structured scan of signals, trend clusters, and scenarios to identify strategic opportunities and threats for Centaur as a cognitive enhancement platform.</w:t>
      </w:r>
    </w:p>
    <w:p>
      <w:pPr>
        <w:pBdr>
          <w:bottom w:val="single" w:color="C0392B" w:sz="4" w:space="1"/>
        </w:pBdr>
        <w:spacing w:after="200"/>
      </w:pPr>
      <w:r>
        <w:t xml:space="preserve"/>
      </w:r>
    </w:p>
    <w:p>
      <w:pPr>
        <w:pStyle w:val="Heading1"/>
      </w:pPr>
      <w:r>
        <w:rPr>
          <w:rFonts w:ascii="Arial" w:cs="Arial" w:eastAsia="Arial" w:hAnsi="Arial"/>
          <w:b/>
          <w:bCs/>
          <w:color w:val="1A1A2E"/>
          <w:sz w:val="32"/>
          <w:szCs w:val="32"/>
        </w:rPr>
        <w:t xml:space="preserve">1. Framing the Inquiry</w:t>
      </w:r>
    </w:p>
    <w:p>
      <w:pPr>
        <w:spacing w:after="160"/>
      </w:pPr>
      <w:r>
        <w:rPr>
          <w:rFonts w:ascii="Arial" w:cs="Arial" w:eastAsia="Arial" w:hAnsi="Arial"/>
          <w:sz w:val="22"/>
          <w:szCs w:val="22"/>
        </w:rPr>
        <w:t xml:space="preserve">This scan applies the Applied Futures framework -- as used by futurists like Amy Webb at the Future Today Institute -- to Centaur's strategic context. The framework moves from raw signals to trend clusters to plausible futures, then back to present-day decisions.</w:t>
      </w:r>
    </w:p>
    <w:p>
      <w:pPr>
        <w:spacing w:after="160"/>
      </w:pPr>
      <w:r>
        <w:rPr>
          <w:rFonts w:ascii="Arial" w:cs="Arial" w:eastAsia="Arial" w:hAnsi="Arial"/>
          <w:sz w:val="22"/>
          <w:szCs w:val="22"/>
        </w:rPr>
        <w:t xml:space="preserve">The central question: Given validated demand for tools that make knowledge workers think more rigorously, what futures could Centaur be navigating in 2029-2031, and what does that mean for decisions we make now?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Framework Layer</w:t>
            </w:r>
          </w:p>
        </w:tc>
        <w:tc>
          <w:tcPr>
            <w:tcW w:type="dxa" w:w="616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What It Does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Signal Scan (Section 2)</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Identifies early, weak signals of change across STEEP domains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Trend Clusters (Section 3)</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Groups signals into named trends with trajectory and velocity</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Critical Uncertainties (Section 4)</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Identifies the two axes with the most impact on Centaur's future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Scenario Matrix (Section 5)</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Four plausible futures built from the uncertainty axes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Strategic Implications (Section 6)</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What each scenario demands from Centaur right now</w:t>
            </w:r>
          </w:p>
        </w:tc>
      </w:tr>
    </w:tbl>
    <w:p>
      <w:pPr>
        <w:spacing w:after="80"/>
      </w:pPr>
      <w:r>
        <w:t xml:space="preserve"/>
      </w:r>
    </w:p>
    <w:p>
      <w:pPr>
        <w:pStyle w:val="Heading1"/>
      </w:pPr>
      <w:r>
        <w:rPr>
          <w:rFonts w:ascii="Arial" w:cs="Arial" w:eastAsia="Arial" w:hAnsi="Arial"/>
          <w:b/>
          <w:bCs/>
          <w:color w:val="1A1A2E"/>
          <w:sz w:val="32"/>
          <w:szCs w:val="32"/>
        </w:rPr>
        <w:t xml:space="preserve">2. Signal Scan (STEEP)</w:t>
      </w:r>
    </w:p>
    <w:p>
      <w:pPr>
        <w:spacing w:after="160"/>
      </w:pPr>
      <w:r>
        <w:rPr>
          <w:rFonts w:ascii="Arial" w:cs="Arial" w:eastAsia="Arial" w:hAnsi="Arial"/>
          <w:sz w:val="22"/>
          <w:szCs w:val="22"/>
        </w:rPr>
        <w:t xml:space="preserve">Signals are early indicators of change -- not trends yet, but observable facts that, in aggregate, point somewhere. Each signal is tagged: S=Social, T=Technological, E=Economic, En=Environmental, P=Political/Regulatory.</w:t>
      </w:r>
    </w:p>
    <w:p>
      <w:pPr>
        <w:spacing w:after="80"/>
      </w:pPr>
      <w:r>
        <w:t xml:space="preserve"/>
      </w:r>
    </w:p>
    <w:p>
      <w:pPr>
        <w:pStyle w:val="Heading2"/>
      </w:pPr>
      <w:r>
        <w:rPr>
          <w:rFonts w:ascii="Arial" w:cs="Arial" w:eastAsia="Arial" w:hAnsi="Arial"/>
          <w:b/>
          <w:bCs/>
          <w:color w:val="C0392B"/>
          <w:sz w:val="26"/>
          <w:szCs w:val="26"/>
        </w:rPr>
        <w:t xml:space="preserve">2.1 Social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Signal</w:t>
            </w:r>
          </w:p>
        </w:tc>
        <w:tc>
          <w:tcPr>
            <w:tcW w:type="dxa" w:w="348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Observation</w:t>
            </w:r>
          </w:p>
        </w:tc>
        <w:tc>
          <w:tcPr>
            <w:tcW w:type="dxa" w:w="348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Implication for Centaur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The Metacognition Deficit</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Research from McKinsey and Gallup consistently shows that executives rate their own strategic thinking as strong while peers and direct reports rate it significantly weaker -- a widening perception gap.</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The job Centaur does (honest external challenge) is not optional for high performers. It is increasingly necessary as self-assessment becomes less reliable.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The Loneliness of the Knowledge Worker</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Remote and hybrid work has eliminated ambient intellectual friction -- the hallway disagreement, the meeting pushback. Workers report fewer opportunities to have their thinking challenged.</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Centaur fills a structural gap, not just a preference gap. The market is not niche; it is a direct consequence of how work has been reorganized.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Coaching Normalization</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Executive coaching, once a remediation signal, is now a status signal. The market grew 14% annually 2020-2025. Users under 40 seek coaches earlier and more frequently than prior generations.</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Centaur enters a market with rising social permission. The stigma barrier is low and falling.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Epistemic Anxiety</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A measurable rise in concern about misinformation, AI-generated content, and the reliability of one's own information diet. Knowledge workers report uncertainty about what to trust, including their own analysis.</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Centaur's value proposition -- sharper, more self-aware reasoning -- maps directly onto this anxiety. The emotional hook is already primed.</w:t>
            </w:r>
          </w:p>
        </w:tc>
      </w:tr>
    </w:tbl>
    <w:p>
      <w:pPr>
        <w:spacing w:after="80"/>
      </w:pPr>
      <w:r>
        <w:t xml:space="preserve"/>
      </w:r>
    </w:p>
    <w:p>
      <w:pPr>
        <w:pStyle w:val="Heading2"/>
      </w:pPr>
      <w:r>
        <w:rPr>
          <w:rFonts w:ascii="Arial" w:cs="Arial" w:eastAsia="Arial" w:hAnsi="Arial"/>
          <w:b/>
          <w:bCs/>
          <w:color w:val="C0392B"/>
          <w:sz w:val="26"/>
          <w:szCs w:val="26"/>
        </w:rPr>
        <w:t xml:space="preserve">2.2 Technological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Signal</w:t>
            </w:r>
          </w:p>
        </w:tc>
        <w:tc>
          <w:tcPr>
            <w:tcW w:type="dxa" w:w="348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Observation</w:t>
            </w:r>
          </w:p>
        </w:tc>
        <w:tc>
          <w:tcPr>
            <w:tcW w:type="dxa" w:w="348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Implication for Centaur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AI Capability Acceleration</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Frontier models have doubled in reasoning benchmark performance roughly every 12-18 months. The gap between what AI can reason through and what users prompt it to reason through is widening.</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Centaur's prompt coaching mechanic is not just a UX feature -- it becomes a structural advantage as the capability gap widens. Users who learn to ask better questions extract exponentially more value from AI.</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Personalization Infrastructure Maturity</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Embedding models, retrieval-augmented generation, and user-state persistence have become commodity infrastructure in 2025-2026, available to small teams via API.</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Centaur can build session memory, cross-session pattern recognition, and personalized challenge escalation without large ML teams. The infrastructure cost barrier is low.</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The Commoditization of Q&amp;A AI</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ChatGPT, Gemini, Claude, Perplexity -- answer engines are abundant and free. The commodity is the answer; the scarce good is the quality of the question.</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Centaur's positioning (coach the question, not just the answer) becomes more differentiated, not less, as Q&amp;A AI saturates the market.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Ambient AI Integration</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AI is being embedded into every productivity tool -- email, documents, search, calendar. Workers increasingly interact with AI passively, not actively.</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Risk: Centaur must compete with ambient AI for attention. Opportunity: Centaur is the only active, deliberate, growth-oriented AI interaction -- a distinct behavioral category.</w:t>
            </w:r>
          </w:p>
        </w:tc>
      </w:tr>
    </w:tbl>
    <w:p>
      <w:pPr>
        <w:spacing w:after="80"/>
      </w:pPr>
      <w:r>
        <w:t xml:space="preserve"/>
      </w:r>
    </w:p>
    <w:p>
      <w:pPr>
        <w:pStyle w:val="Heading2"/>
      </w:pPr>
      <w:r>
        <w:rPr>
          <w:rFonts w:ascii="Arial" w:cs="Arial" w:eastAsia="Arial" w:hAnsi="Arial"/>
          <w:b/>
          <w:bCs/>
          <w:color w:val="C0392B"/>
          <w:sz w:val="26"/>
          <w:szCs w:val="26"/>
        </w:rPr>
        <w:t xml:space="preserve">2.3 Economic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Signal</w:t>
            </w:r>
          </w:p>
        </w:tc>
        <w:tc>
          <w:tcPr>
            <w:tcW w:type="dxa" w:w="348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Observation</w:t>
            </w:r>
          </w:p>
        </w:tc>
        <w:tc>
          <w:tcPr>
            <w:tcW w:type="dxa" w:w="348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Implication for Centaur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Knowledge Work Productivity Premium</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Organizations are under pressure to get more analytical output from fewer knowledge workers. The premium on senior analytical judgment is rising.</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Centaur's ROI story gets easier to tell. Tools that make expensive thinkers think better have a clear enterprise value proposition.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The Coaching Market Expansion</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The global coaching industry surpassed $20B in 2025 and is growing toward $35B by 2030, driven by corporate L&amp;D budgets shifting from training programs to personalized development.</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Centaur competes in a growing market and has a cost advantage: high-quality coaching at a fraction of the per-session cost of human coaches.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Enterprise AI Budget Consolidation</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After initial AI experimentation, enterprises are consolidating AI spend around a smaller number of high-ROI tools (2024-2026 consolidation cycle).</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Risk: Centaur must establish itself before the consolidation window closes. Tools that do not have enterprise contracts by 2028 may be crowded out.</w:t>
            </w:r>
          </w:p>
        </w:tc>
      </w:tr>
    </w:tbl>
    <w:p>
      <w:pPr>
        <w:spacing w:after="80"/>
      </w:pPr>
      <w:r>
        <w:t xml:space="preserve"/>
      </w:r>
    </w:p>
    <w:p>
      <w:pPr>
        <w:pStyle w:val="Heading2"/>
      </w:pPr>
      <w:r>
        <w:rPr>
          <w:rFonts w:ascii="Arial" w:cs="Arial" w:eastAsia="Arial" w:hAnsi="Arial"/>
          <w:b/>
          <w:bCs/>
          <w:color w:val="C0392B"/>
          <w:sz w:val="26"/>
          <w:szCs w:val="26"/>
        </w:rPr>
        <w:t xml:space="preserve">2.4 Political / Regulatory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Signal</w:t>
            </w:r>
          </w:p>
        </w:tc>
        <w:tc>
          <w:tcPr>
            <w:tcW w:type="dxa" w:w="348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Observation</w:t>
            </w:r>
          </w:p>
        </w:tc>
        <w:tc>
          <w:tcPr>
            <w:tcW w:type="dxa" w:w="348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Implication for Centaur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AI Transparency Regulation</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The EU AI Act (2024) and US executive orders on AI are establishing disclosure requirements for AI systems that influence decision-making. Coaching and advisory AI may be in scope.</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Centaur should build transparency into its product architecture now. Explainability of coaching logic is a regulatory hedge and a trust differentiator.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Data Privacy for Behavioral Data</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Regulators are increasingly treating data about how people think and decide as sensitive. Several US states have proposed neurorights-adjacent legislation.</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Session content -- which captures reasoning patterns, beliefs, and vulnerabilities -- is among the most sensitive data a product can hold. Privacy-by-design is not optional.</w:t>
            </w:r>
          </w:p>
        </w:tc>
      </w:tr>
    </w:tbl>
    <w:p>
      <w:pPr>
        <w:spacing w:after="80"/>
      </w:pPr>
      <w:r>
        <w:t xml:space="preserve"/>
      </w:r>
    </w:p>
    <w:p>
      <w:pPr>
        <w:pStyle w:val="Heading1"/>
      </w:pPr>
      <w:r>
        <w:rPr>
          <w:rFonts w:ascii="Arial" w:cs="Arial" w:eastAsia="Arial" w:hAnsi="Arial"/>
          <w:b/>
          <w:bCs/>
          <w:color w:val="1A1A2E"/>
          <w:sz w:val="32"/>
          <w:szCs w:val="32"/>
        </w:rPr>
        <w:t xml:space="preserve">3. Trend Clusters</w:t>
      </w:r>
    </w:p>
    <w:p>
      <w:pPr>
        <w:spacing w:after="160"/>
      </w:pPr>
      <w:r>
        <w:rPr>
          <w:rFonts w:ascii="Arial" w:cs="Arial" w:eastAsia="Arial" w:hAnsi="Arial"/>
          <w:sz w:val="22"/>
          <w:szCs w:val="22"/>
        </w:rPr>
        <w:t xml:space="preserve">Signals cluster into named trends. Each trend is assessed for velocity (how fast it is moving) and relevance to Centaur (how directly it affects the product's opportunity or threat surface).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Trend</w:t>
            </w:r>
          </w:p>
        </w:tc>
        <w:tc>
          <w:tcPr>
            <w:tcW w:type="dxa" w:w="208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Velocity</w:t>
            </w:r>
          </w:p>
        </w:tc>
        <w:tc>
          <w:tcPr>
            <w:tcW w:type="dxa" w:w="408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Relevance to Centaur</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The Question Gap: AI answer supply outpaces question quality</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Fast -- 18-month doubling cycle</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Core -- this is the market Centaur exists to serve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Coaching Normalization among knowledge workers</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Steady -- 10-15% annual growth</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High -- reduces acquisition friction, expands addressable market</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Enterprise AI Consolidation</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Fast -- consolidation window 2026-2028</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High threat -- Centaur must reach enterprise before window closes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Behavioral Data Regulation</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Building -- 2-4 year policy cycle</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Medium -- shapes architecture decisions now</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Ambient AI Saturation</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Fast -- embedding in all productivity tools by 2027</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High -- Centaur must sharpen its differentiation as active vs. passive AI use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Remote Work Structural Effects</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Stable -- hybrid is now default for knowledge work</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High opportunity -- structural demand for intellectual friction replacement</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Personalization Infrastructure Maturity</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Fast -- commodity by 2027</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High opportunity -- enables Centaur's growth loops without large ML investment</w:t>
            </w:r>
          </w:p>
        </w:tc>
      </w:tr>
    </w:tbl>
    <w:p>
      <w:pPr>
        <w:spacing w:after="80"/>
      </w:pPr>
      <w:r>
        <w:t xml:space="preserve"/>
      </w:r>
    </w:p>
    <w:p>
      <w:pPr>
        <w:pStyle w:val="Heading1"/>
      </w:pPr>
      <w:r>
        <w:rPr>
          <w:rFonts w:ascii="Arial" w:cs="Arial" w:eastAsia="Arial" w:hAnsi="Arial"/>
          <w:b/>
          <w:bCs/>
          <w:color w:val="1A1A2E"/>
          <w:sz w:val="32"/>
          <w:szCs w:val="32"/>
        </w:rPr>
        <w:t xml:space="preserve">4. Critical Uncertainties</w:t>
      </w:r>
    </w:p>
    <w:p>
      <w:pPr>
        <w:spacing w:after="160"/>
      </w:pPr>
      <w:r>
        <w:rPr>
          <w:rFonts w:ascii="Arial" w:cs="Arial" w:eastAsia="Arial" w:hAnsi="Arial"/>
          <w:sz w:val="22"/>
          <w:szCs w:val="22"/>
        </w:rPr>
        <w:t xml:space="preserve">From the trend cluster analysis, two uncertainties are identified as having the highest impact on Centaur's future -- and the most unresolved outcomes. These become the axes of the scenario matrix.</w:t>
      </w:r>
    </w:p>
    <w:p>
      <w:pPr>
        <w:spacing w:after="80"/>
      </w:pPr>
      <w:r>
        <w:t xml:space="preserve"/>
      </w:r>
    </w:p>
    <w:p>
      <w:pPr>
        <w:pStyle w:val="Heading2"/>
      </w:pPr>
      <w:r>
        <w:rPr>
          <w:rFonts w:ascii="Arial" w:cs="Arial" w:eastAsia="Arial" w:hAnsi="Arial"/>
          <w:b/>
          <w:bCs/>
          <w:color w:val="C0392B"/>
          <w:sz w:val="26"/>
          <w:szCs w:val="26"/>
        </w:rPr>
        <w:t xml:space="preserve">Uncertainty Axis 1: User Behavior Shift</w:t>
      </w:r>
    </w:p>
    <w:p>
      <w:pPr>
        <w:spacing w:after="160"/>
      </w:pPr>
      <w:r>
        <w:rPr>
          <w:rFonts w:ascii="Arial" w:cs="Arial" w:eastAsia="Arial" w:hAnsi="Arial"/>
          <w:sz w:val="22"/>
          <w:szCs w:val="22"/>
        </w:rPr>
        <w:t xml:space="preserve">Does the market shift toward AI as a thinking partner (deliberate, growth-oriented use) -- or does it settle into AI as a thinking replacement (passive, answer-consumption use)?</w:t>
      </w:r>
    </w:p>
    <w:p>
      <w:pPr>
        <w:pStyle w:val="ListParagraph"/>
        <w:numPr>
          <w:ilvl w:val="0"/>
          <w:numId w:val="2"/>
        </w:numPr>
        <w:spacing w:after="80"/>
      </w:pPr>
      <w:r>
        <w:rPr>
          <w:rFonts w:ascii="Arial" w:cs="Arial" w:eastAsia="Arial" w:hAnsi="Arial"/>
          <w:sz w:val="22"/>
          <w:szCs w:val="22"/>
        </w:rPr>
        <w:t xml:space="preserve">If thinking partner: Centaur's core model is culturally validated. Users are primed to do the harder thing.</w:t>
      </w:r>
    </w:p>
    <w:p>
      <w:pPr>
        <w:pStyle w:val="ListParagraph"/>
        <w:numPr>
          <w:ilvl w:val="0"/>
          <w:numId w:val="2"/>
        </w:numPr>
        <w:spacing w:after="80"/>
      </w:pPr>
      <w:r>
        <w:rPr>
          <w:rFonts w:ascii="Arial" w:cs="Arial" w:eastAsia="Arial" w:hAnsi="Arial"/>
          <w:sz w:val="22"/>
          <w:szCs w:val="22"/>
        </w:rPr>
        <w:t xml:space="preserve">If thinking replacement: Centaur faces a headwind. The product asks users to work; the default market behavior is to not work.</w:t>
      </w:r>
    </w:p>
    <w:p>
      <w:pPr>
        <w:spacing w:after="80"/>
      </w:pPr>
      <w:r>
        <w:t xml:space="preserve"/>
      </w:r>
    </w:p>
    <w:p>
      <w:pPr>
        <w:pStyle w:val="Heading2"/>
      </w:pPr>
      <w:r>
        <w:rPr>
          <w:rFonts w:ascii="Arial" w:cs="Arial" w:eastAsia="Arial" w:hAnsi="Arial"/>
          <w:b/>
          <w:bCs/>
          <w:color w:val="C0392B"/>
          <w:sz w:val="26"/>
          <w:szCs w:val="26"/>
        </w:rPr>
        <w:t xml:space="preserve">Uncertainty Axis 2: Competitive Landscape</w:t>
      </w:r>
    </w:p>
    <w:p>
      <w:pPr>
        <w:spacing w:after="160"/>
      </w:pPr>
      <w:r>
        <w:rPr>
          <w:rFonts w:ascii="Arial" w:cs="Arial" w:eastAsia="Arial" w:hAnsi="Arial"/>
          <w:sz w:val="22"/>
          <w:szCs w:val="22"/>
        </w:rPr>
        <w:t xml:space="preserve">Does a large incumbent (Microsoft, Google, Salesforce, LinkedIn) build a coaching layer into an existing platform -- or does the coaching market remain fragmented and independent?</w:t>
      </w:r>
    </w:p>
    <w:p>
      <w:pPr>
        <w:pStyle w:val="ListParagraph"/>
        <w:numPr>
          <w:ilvl w:val="0"/>
          <w:numId w:val="2"/>
        </w:numPr>
        <w:spacing w:after="80"/>
      </w:pPr>
      <w:r>
        <w:rPr>
          <w:rFonts w:ascii="Arial" w:cs="Arial" w:eastAsia="Arial" w:hAnsi="Arial"/>
          <w:sz w:val="22"/>
          <w:szCs w:val="22"/>
        </w:rPr>
        <w:t xml:space="preserve">If incumbent entry: Centaur faces distribution disadvantage but can compete on depth and trust.</w:t>
      </w:r>
    </w:p>
    <w:p>
      <w:pPr>
        <w:pStyle w:val="ListParagraph"/>
        <w:numPr>
          <w:ilvl w:val="0"/>
          <w:numId w:val="2"/>
        </w:numPr>
        <w:spacing w:after="80"/>
      </w:pPr>
      <w:r>
        <w:rPr>
          <w:rFonts w:ascii="Arial" w:cs="Arial" w:eastAsia="Arial" w:hAnsi="Arial"/>
          <w:sz w:val="22"/>
          <w:szCs w:val="22"/>
        </w:rPr>
        <w:t xml:space="preserve">If market stays fragmented: Centaur has a window to establish category leadership before consolidation.</w:t>
      </w:r>
    </w:p>
    <w:p>
      <w:pPr>
        <w:spacing w:after="80"/>
      </w:pPr>
      <w:r>
        <w:t xml:space="preserve"/>
      </w:r>
    </w:p>
    <w:p>
      <w:pPr>
        <w:pStyle w:val="Heading1"/>
      </w:pPr>
      <w:r>
        <w:rPr>
          <w:rFonts w:ascii="Arial" w:cs="Arial" w:eastAsia="Arial" w:hAnsi="Arial"/>
          <w:b/>
          <w:bCs/>
          <w:color w:val="1A1A2E"/>
          <w:sz w:val="32"/>
          <w:szCs w:val="32"/>
        </w:rPr>
        <w:t xml:space="preserve">5. Scenario Matrix</w:t>
      </w:r>
    </w:p>
    <w:p>
      <w:pPr>
        <w:spacing w:after="160"/>
      </w:pPr>
      <w:r>
        <w:rPr>
          <w:rFonts w:ascii="Arial" w:cs="Arial" w:eastAsia="Arial" w:hAnsi="Arial"/>
          <w:sz w:val="22"/>
          <w:szCs w:val="22"/>
        </w:rPr>
        <w:t xml:space="preserve">Four plausible futures constructed from the intersection of the two critical uncertainty axes. Each scenario is named, described, and assessed for what it means for Centaur.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
            </w:r>
          </w:p>
        </w:tc>
        <w:tc>
          <w:tcPr>
            <w:tcW w:type="dxa" w:w="616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MARKET STAYS FRAGMENTED</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USER BEHAVIOR: THINKING PARTNER</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Scenario A</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USER BEHAVIOR: THINKING REPLACEMENT</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Scenario C</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ED5" w:val="clear"/>
            <w:tcMar>
              <w:top w:type="dxa" w:w="120"/>
              <w:left w:type="dxa" w:w="200"/>
              <w:bottom w:type="dxa" w:w="120"/>
              <w:right w:type="dxa" w:w="200"/>
            </w:tcMar>
          </w:tcPr>
          <w:p>
            <w:pPr>
              <w:spacing w:after="80"/>
            </w:pPr>
            <w:r>
              <w:rPr>
                <w:rFonts w:ascii="Arial" w:cs="Arial" w:eastAsia="Arial" w:hAnsi="Arial"/>
                <w:b/>
                <w:bCs/>
                <w:color w:val="1A1A2E"/>
                <w:sz w:val="24"/>
                <w:szCs w:val="24"/>
              </w:rPr>
              <w:t xml:space="preserve">SCENARIO A: The Golden Window</w:t>
            </w:r>
          </w:p>
          <w:p>
            <w:pPr>
              <w:spacing w:after="120"/>
            </w:pPr>
            <w:r>
              <w:rPr>
                <w:rFonts w:ascii="Arial" w:cs="Arial" w:eastAsia="Arial" w:hAnsi="Arial"/>
                <w:i/>
                <w:iCs/>
                <w:color w:val="555555"/>
                <w:sz w:val="20"/>
                <w:szCs w:val="20"/>
              </w:rPr>
              <w:t xml:space="preserve">Users want thinking partners. Market stays fragmented. (2028-2031)</w:t>
            </w:r>
          </w:p>
          <w:p>
            <w:pPr>
              <w:spacing w:after="60"/>
            </w:pPr>
            <w:r>
              <w:rPr>
                <w:rFonts w:ascii="Arial" w:cs="Arial" w:eastAsia="Arial" w:hAnsi="Arial"/>
                <w:color w:val="222222"/>
                <w:sz w:val="20"/>
                <w:szCs w:val="20"/>
              </w:rPr>
              <w:t xml:space="preserve">This is Centaur's best-case future. Knowledge workers have internalized that AI amplifies the quality of the human thinking directing it -- not the other way around. They are actively seeking tools that make them better thinkers, not just faster producers.</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The coaching market is growing but no single platform dominates it. Centaur has time and space to build category leadership, establish brand as the trusted thinking coach, and develop the network effects of longitudinal user growth data.</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Strategic posture: Invest aggressively in product depth, habit formation, and community. This is the window to define the category before consolidation. Establish enterprise relationships before incumbents notice the market.</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Key risk: Moving too slowly. The window is real but not permanent.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pPr>
            <w:r>
              <w:rPr>
                <w:rFonts w:ascii="Arial" w:cs="Arial" w:eastAsia="Arial" w:hAnsi="Arial"/>
                <w:b/>
                <w:bCs/>
                <w:color w:val="1A1A2E"/>
                <w:sz w:val="24"/>
                <w:szCs w:val="24"/>
              </w:rPr>
              <w:t xml:space="preserve">SCENARIO B: David vs. Goliath</w:t>
            </w:r>
          </w:p>
          <w:p>
            <w:pPr>
              <w:spacing w:after="120"/>
            </w:pPr>
            <w:r>
              <w:rPr>
                <w:rFonts w:ascii="Arial" w:cs="Arial" w:eastAsia="Arial" w:hAnsi="Arial"/>
                <w:i/>
                <w:iCs/>
                <w:color w:val="555555"/>
                <w:sz w:val="20"/>
                <w:szCs w:val="20"/>
              </w:rPr>
              <w:t xml:space="preserve">Users want thinking partners. Incumbent enters. (2028-2031)</w:t>
            </w:r>
          </w:p>
          <w:p>
            <w:pPr>
              <w:spacing w:after="60"/>
            </w:pPr>
            <w:r>
              <w:rPr>
                <w:rFonts w:ascii="Arial" w:cs="Arial" w:eastAsia="Arial" w:hAnsi="Arial"/>
                <w:color w:val="222222"/>
                <w:sz w:val="20"/>
                <w:szCs w:val="20"/>
              </w:rPr>
              <w:t xml:space="preserve">Microsoft CoPilot or LinkedIn launch a coaching layer. Google embeds a thinking coach in Workspace. The distribution advantage is massive -- but so is the trust deficit.</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Incumbents can reach 100x more users, but their coaching products are inevitably diluted by enterprise compliance requirements, brand safety constraints, and the pressure to be agreeable. They will not build a product that tells the user their reasoning is weak.</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Centaur's advantage: depth, trust, and intellectual honesty. Users who want real challenge will seek out the product that actually challenges them.</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Strategic posture: Become the 'real' option versus the 'safe' option. Lean into the positioning that incumbents cannot match. Build a passionate expert user base that advocates loudly. Target domains (law, research, strategy) where intellectual rigor is non-negotiable.</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Key risk: Getting outspent on distribution before the positioning can be established.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pPr>
            <w:r>
              <w:rPr>
                <w:rFonts w:ascii="Arial" w:cs="Arial" w:eastAsia="Arial" w:hAnsi="Arial"/>
                <w:b/>
                <w:bCs/>
                <w:color w:val="1A1A2E"/>
                <w:sz w:val="24"/>
                <w:szCs w:val="24"/>
              </w:rPr>
              <w:t xml:space="preserve">SCENARIO C: The Niche</w:t>
            </w:r>
          </w:p>
          <w:p>
            <w:pPr>
              <w:spacing w:after="120"/>
            </w:pPr>
            <w:r>
              <w:rPr>
                <w:rFonts w:ascii="Arial" w:cs="Arial" w:eastAsia="Arial" w:hAnsi="Arial"/>
                <w:i/>
                <w:iCs/>
                <w:color w:val="555555"/>
                <w:sz w:val="20"/>
                <w:szCs w:val="20"/>
              </w:rPr>
              <w:t xml:space="preserve">Users default to thinking replacement. Market stays fragmented. (2028-2031)</w:t>
            </w:r>
          </w:p>
          <w:p>
            <w:pPr>
              <w:spacing w:after="60"/>
            </w:pPr>
            <w:r>
              <w:rPr>
                <w:rFonts w:ascii="Arial" w:cs="Arial" w:eastAsia="Arial" w:hAnsi="Arial"/>
                <w:color w:val="222222"/>
                <w:sz w:val="20"/>
                <w:szCs w:val="20"/>
              </w:rPr>
              <w:t xml:space="preserve">Most knowledge workers settle into passive AI use -- they prompt, they receive, they move on. The habit of asking AI to help them think is never normalized. Centaur is a product for a self-selecting minority of intellectually motivated professionals.</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This is not a failure scenario -- it is a niche scenario. The addressable market is smaller but the users are high-value, highly engaged, and willing to pay premium prices. Think: Peloton for the mind, or a high-end coaching practice at software scale.</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Strategic posture: Embrace the niche. Raise prices. Build for depth over breadth. Focus on verticals (research, law, strategy consulting) where deliberate thinking is a professional norm, not a personal preference.</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Key risk: Niche businesses are acquired or copied, not scaled. Plan for acquisition or category expansion.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DEDE" w:val="clear"/>
            <w:tcMar>
              <w:top w:type="dxa" w:w="120"/>
              <w:left w:type="dxa" w:w="200"/>
              <w:bottom w:type="dxa" w:w="120"/>
              <w:right w:type="dxa" w:w="200"/>
            </w:tcMar>
          </w:tcPr>
          <w:p>
            <w:pPr>
              <w:spacing w:after="80"/>
            </w:pPr>
            <w:r>
              <w:rPr>
                <w:rFonts w:ascii="Arial" w:cs="Arial" w:eastAsia="Arial" w:hAnsi="Arial"/>
                <w:b/>
                <w:bCs/>
                <w:color w:val="1A1A2E"/>
                <w:sz w:val="24"/>
                <w:szCs w:val="24"/>
              </w:rPr>
              <w:t xml:space="preserve">SCENARIO D: The Worst Case</w:t>
            </w:r>
          </w:p>
          <w:p>
            <w:pPr>
              <w:spacing w:after="120"/>
            </w:pPr>
            <w:r>
              <w:rPr>
                <w:rFonts w:ascii="Arial" w:cs="Arial" w:eastAsia="Arial" w:hAnsi="Arial"/>
                <w:i/>
                <w:iCs/>
                <w:color w:val="555555"/>
                <w:sz w:val="20"/>
                <w:szCs w:val="20"/>
              </w:rPr>
              <w:t xml:space="preserve">Users default to thinking replacement. Incumbents enter. (2028-2031)</w:t>
            </w:r>
          </w:p>
          <w:p>
            <w:pPr>
              <w:spacing w:after="60"/>
            </w:pPr>
            <w:r>
              <w:rPr>
                <w:rFonts w:ascii="Arial" w:cs="Arial" w:eastAsia="Arial" w:hAnsi="Arial"/>
                <w:color w:val="222222"/>
                <w:sz w:val="20"/>
                <w:szCs w:val="20"/>
              </w:rPr>
              <w:t xml:space="preserve">Ambient AI has trained users to expect answers, not questions. When Microsoft or Google launches a coaching product, it validates the category -- but the product that wins is the one that requires least effort, not most.</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Centaur's friction (the deliberate cognitive work it requires) becomes a bug, not a feature, in a market where users have been conditioned to want zero friction.</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This scenario is navigable but requires a strategic pivot: Either find the users for whom the friction is the point (see Scenario C), or restructure the product to meet users where their behavior actually is.</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Strategic posture: Do not build for Scenario D from the start. But monitor the leading indicators (session drop-off rates, prompt reframe rejection rates, average session length trends) and be prepared to pivot product scope if the signals emerge by 2028.</w:t>
            </w:r>
          </w:p>
          <w:p>
            <w:pPr>
              <w:spacing w:after="60"/>
            </w:pPr>
            <w:r>
              <w:rPr>
                <w:rFonts w:ascii="Arial" w:cs="Arial" w:eastAsia="Arial" w:hAnsi="Arial"/>
                <w:color w:val="222222"/>
                <w:sz w:val="20"/>
                <w:szCs w:val="20"/>
              </w:rPr>
              <w:t xml:space="preserve"/>
            </w:r>
          </w:p>
          <w:p>
            <w:pPr>
              <w:spacing w:after="60"/>
            </w:pPr>
            <w:r>
              <w:rPr>
                <w:rFonts w:ascii="Arial" w:cs="Arial" w:eastAsia="Arial" w:hAnsi="Arial"/>
                <w:color w:val="222222"/>
                <w:sz w:val="20"/>
                <w:szCs w:val="20"/>
              </w:rPr>
              <w:t xml:space="preserve">Key risk: Building the wrong product for too long.</w:t>
            </w:r>
          </w:p>
        </w:tc>
      </w:tr>
    </w:tbl>
    <w:p>
      <w:pPr>
        <w:spacing w:after="80"/>
      </w:pPr>
      <w:r>
        <w:t xml:space="preserve"/>
      </w:r>
    </w:p>
    <w:p>
      <w:pPr>
        <w:pStyle w:val="Heading1"/>
      </w:pPr>
      <w:r>
        <w:rPr>
          <w:rFonts w:ascii="Arial" w:cs="Arial" w:eastAsia="Arial" w:hAnsi="Arial"/>
          <w:b/>
          <w:bCs/>
          <w:color w:val="1A1A2E"/>
          <w:sz w:val="32"/>
          <w:szCs w:val="32"/>
        </w:rPr>
        <w:t xml:space="preserve">6. Strategic Implications for Centaur Now</w:t>
      </w:r>
    </w:p>
    <w:p>
      <w:pPr>
        <w:spacing w:after="160"/>
      </w:pPr>
      <w:r>
        <w:rPr>
          <w:rFonts w:ascii="Arial" w:cs="Arial" w:eastAsia="Arial" w:hAnsi="Arial"/>
          <w:sz w:val="22"/>
          <w:szCs w:val="22"/>
        </w:rPr>
        <w:t xml:space="preserve">Across all four scenarios, three strategic decisions are consistent -- they are the right move regardless of which future materializes. Two decisions are scenario-dependent and should be treated as options to exercise, not commitments to make today.</w:t>
      </w:r>
    </w:p>
    <w:p>
      <w:pPr>
        <w:spacing w:after="80"/>
      </w:pPr>
      <w:r>
        <w:t xml:space="preserve"/>
      </w:r>
    </w:p>
    <w:p>
      <w:pPr>
        <w:pStyle w:val="Heading2"/>
      </w:pPr>
      <w:r>
        <w:rPr>
          <w:rFonts w:ascii="Arial" w:cs="Arial" w:eastAsia="Arial" w:hAnsi="Arial"/>
          <w:b/>
          <w:bCs/>
          <w:color w:val="C0392B"/>
          <w:sz w:val="26"/>
          <w:szCs w:val="26"/>
        </w:rPr>
        <w:t xml:space="preserve">6.1 Robust Decisions (Right in All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Decision</w:t>
            </w:r>
          </w:p>
        </w:tc>
        <w:tc>
          <w:tcPr>
            <w:tcW w:type="dxa" w:w="328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Rationale</w:t>
            </w:r>
          </w:p>
        </w:tc>
        <w:tc>
          <w:tcPr>
            <w:tcW w:type="dxa" w:w="328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What to Do Now</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Build for behavioral habit formation, not sessions</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In every scenario, users who build the questioning habit are the retained users. Session-by-session value is not enough.</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Invest in the prompt coaching mechanic (v1), cross-session memory (v1.1), and visible growth metrics (v2). Make growth legible to the user.</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Establish trust architecture early</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Regulatory signals are building across all scenarios. Data privacy and AI transparency become table stakes by 2028.</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Implement privacy-by-design in v1. Publish a clear data use policy. Make session deletion easy and complete.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Target verticals where rigor is a professional norm</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Legal, strategy consulting, academic research -- these users have intrinsic motivation to think better. They exist in all four scenarios.</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Sales and marketing should lead with vertical-specific messaging and case studies. Build domain-tuned onboarding for top 3 verticals.</w:t>
            </w:r>
          </w:p>
        </w:tc>
      </w:tr>
    </w:tbl>
    <w:p>
      <w:pPr>
        <w:spacing w:after="80"/>
      </w:pPr>
      <w:r>
        <w:t xml:space="preserve"/>
      </w:r>
    </w:p>
    <w:p>
      <w:pPr>
        <w:pStyle w:val="Heading2"/>
      </w:pPr>
      <w:r>
        <w:rPr>
          <w:rFonts w:ascii="Arial" w:cs="Arial" w:eastAsia="Arial" w:hAnsi="Arial"/>
          <w:b/>
          <w:bCs/>
          <w:color w:val="C0392B"/>
          <w:sz w:val="26"/>
          <w:szCs w:val="26"/>
        </w:rPr>
        <w:t xml:space="preserve">6.2 Scenario-Dependent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Option</w:t>
            </w:r>
          </w:p>
        </w:tc>
        <w:tc>
          <w:tcPr>
            <w:tcW w:type="dxa" w:w="616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When to Exercise It</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Enterprise go-to-market (sales team, procurement pathway, SSO/compliance features)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Exercise if Scenario A or B signals emerge by 2027: coaching normalization accelerates, or an incumbent announces a coaching product. Do not build enterprise sales infrastructure speculatively.</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Niche premium pivot (price increase, depth-over-breadth feature prioritization, community building)</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Exercise if Scenario C signals emerge by 2027: session lengths plateau, prompt reframe rejection rates rise, and user base self-selects toward high-engagement professionals. Raise prices and double down.</w:t>
            </w:r>
          </w:p>
        </w:tc>
      </w:tr>
    </w:tbl>
    <w:p>
      <w:pPr>
        <w:spacing w:after="80"/>
      </w:pPr>
      <w:r>
        <w:t xml:space="preserve"/>
      </w:r>
    </w:p>
    <w:p>
      <w:pPr>
        <w:pStyle w:val="Heading2"/>
      </w:pPr>
      <w:r>
        <w:rPr>
          <w:rFonts w:ascii="Arial" w:cs="Arial" w:eastAsia="Arial" w:hAnsi="Arial"/>
          <w:b/>
          <w:bCs/>
          <w:color w:val="C0392B"/>
          <w:sz w:val="26"/>
          <w:szCs w:val="26"/>
        </w:rPr>
        <w:t xml:space="preserve">6.3 Leading Indicators to Watch (2026-2028)</w:t>
      </w:r>
    </w:p>
    <w:p>
      <w:pPr>
        <w:spacing w:after="160"/>
      </w:pPr>
      <w:r>
        <w:rPr>
          <w:rFonts w:ascii="Arial" w:cs="Arial" w:eastAsia="Arial" w:hAnsi="Arial"/>
          <w:sz w:val="22"/>
          <w:szCs w:val="22"/>
        </w:rPr>
        <w:t xml:space="preserve">These are the signals that will tell you which scenario is materializing. Review quarterly.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Indicator</w:t>
            </w:r>
          </w:p>
        </w:tc>
        <w:tc>
          <w:tcPr>
            <w:tcW w:type="dxa" w:w="328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Scenario A/B Signal</w:t>
            </w:r>
          </w:p>
        </w:tc>
        <w:tc>
          <w:tcPr>
            <w:tcW w:type="dxa" w:w="3280"/>
            <w:tcBorders>
              <w:top w:val="single" w:color="CCCCCC" w:sz="1"/>
              <w:left w:val="single" w:color="CCCCCC" w:sz="1"/>
              <w:bottom w:val="single" w:color="CCCCCC" w:sz="1"/>
              <w:right w:val="single" w:color="CCCCCC" w:sz="1"/>
            </w:tcBorders>
            <w:shd w:fill="FAD7D7" w:val="clear"/>
            <w:tcMar>
              <w:top w:type="dxa" w:w="100"/>
              <w:left w:type="dxa" w:w="140"/>
              <w:bottom w:type="dxa" w:w="100"/>
              <w:right w:type="dxa" w:w="140"/>
            </w:tcMar>
          </w:tcPr>
          <w:p>
            <w:r>
              <w:rPr>
                <w:rFonts w:ascii="Arial" w:cs="Arial" w:eastAsia="Arial" w:hAnsi="Arial"/>
                <w:b/>
                <w:bCs/>
                <w:color w:val="000000"/>
                <w:sz w:val="20"/>
                <w:szCs w:val="20"/>
              </w:rPr>
              <w:t xml:space="preserve">Scenario C/D Signal</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Average sessions per user per month</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Rising -- users forming habits</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Flat or declining after 60 days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Prompt reframe acceptance rate</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Rising -- users internalizing the coaching</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Declining -- users resisting the friction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Competitor landscape</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Fragmented, no major incumbent move</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Microsoft/Google/LinkedIn announcement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Enterprise inbound interest</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Unsolicited corporate inquiries rising</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Primarily individual/prosumer signups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Media/cultural narrative</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AI as amplifier, not replacement</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000000"/>
                <w:sz w:val="20"/>
                <w:szCs w:val="20"/>
              </w:rPr>
              <w:t xml:space="preserve">AI as replacement, automation of knowledge work</w:t>
            </w:r>
          </w:p>
        </w:tc>
      </w:tr>
    </w:tbl>
    <w:p>
      <w:pPr>
        <w:spacing w:after="80"/>
      </w:pPr>
      <w:r>
        <w:t xml:space="preserve"/>
      </w:r>
    </w:p>
    <w:p>
      <w:pPr>
        <w:pStyle w:val="Heading1"/>
      </w:pPr>
      <w:r>
        <w:rPr>
          <w:rFonts w:ascii="Arial" w:cs="Arial" w:eastAsia="Arial" w:hAnsi="Arial"/>
          <w:b/>
          <w:bCs/>
          <w:color w:val="1A1A2E"/>
          <w:sz w:val="32"/>
          <w:szCs w:val="32"/>
        </w:rPr>
        <w:t xml:space="preserve">7. A Note on the Futures That Favor Centaur</w:t>
      </w:r>
    </w:p>
    <w:p>
      <w:pPr>
        <w:spacing w:after="160"/>
      </w:pPr>
      <w:r>
        <w:rPr>
          <w:rFonts w:ascii="Arial" w:cs="Arial" w:eastAsia="Arial" w:hAnsi="Arial"/>
          <w:sz w:val="22"/>
          <w:szCs w:val="22"/>
        </w:rPr>
        <w:t xml:space="preserve">Three of the four scenarios in this scan represent viable, valuable futures for Centaur -- including Scenario D, which has a navigable path if monitored and responded to early.</w:t>
      </w:r>
    </w:p>
    <w:p>
      <w:pPr>
        <w:spacing w:after="160"/>
      </w:pPr>
      <w:r>
        <w:rPr>
          <w:rFonts w:ascii="Arial" w:cs="Arial" w:eastAsia="Arial" w:hAnsi="Arial"/>
          <w:sz w:val="22"/>
          <w:szCs w:val="22"/>
        </w:rPr>
        <w:t xml:space="preserve">The opportunity is structural: the gap between what AI can do and what people prompt it to do is real, widening, and consequential. Centaur addresses that gap directly. The product's core bet -- that teaching people to ask better questions is a durable job-to-be-done -- holds in 2026, 2028, and 2031.</w:t>
      </w:r>
    </w:p>
    <w:p>
      <w:pPr>
        <w:spacing w:after="160"/>
      </w:pPr>
      <w:r>
        <w:rPr>
          <w:rFonts w:ascii="Arial" w:cs="Arial" w:eastAsia="Arial" w:hAnsi="Arial"/>
          <w:sz w:val="22"/>
          <w:szCs w:val="22"/>
        </w:rPr>
        <w:t xml:space="preserve">The primary strategic risk is not product-market fit. It is timing and positioning relative to incumbent entry and market behavior consolidation. Both of those are navigable with the monitoring framework in Section 6.3 and the option-based decision structure in Section 6.2.</w:t>
      </w:r>
    </w:p>
    <w:p>
      <w:pPr>
        <w:spacing w:after="160"/>
      </w:pPr>
      <w:r>
        <w:rPr>
          <w:rFonts w:ascii="Arial" w:cs="Arial" w:eastAsia="Arial" w:hAnsi="Arial"/>
          <w:sz w:val="22"/>
          <w:szCs w:val="22"/>
        </w:rPr>
        <w:t xml:space="preserve">The recommendation from this scan: build with conviction for the near term, build with optionality for the medium term.</w:t>
      </w:r>
    </w:p>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tabs>
        <w:tab w:val="right" w:pos="9360"/>
      </w:tabs>
    </w:pPr>
    <w:r>
      <w:rPr>
        <w:rFonts w:ascii="Arial" w:cs="Arial" w:eastAsia="Arial" w:hAnsi="Arial"/>
        <w:color w:val="C0392B"/>
        <w:sz w:val="18"/>
        <w:szCs w:val="18"/>
      </w:rPr>
      <w:t xml:space="preserve">CENTAUR  --  Applied Futures Scenario Scan</w:t>
    </w:r>
    <w:r>
      <w:rPr>
        <w:rFonts w:ascii="Arial" w:cs="Arial" w:eastAsia="Arial" w:hAnsi="Arial"/>
        <w:color w:val="888888"/>
        <w:sz w:val="18"/>
        <w:szCs w:val="18"/>
      </w:rPr>
      <w:t xml:space="preserve">	3-5 Year Horizon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C0392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2026-05-30T16:22:44.512Z</dcterms:created>
  <dcterms:modified xsi:type="dcterms:W3CDTF">2026-05-30T16:22:44.512Z</dcterms:modified>
</cp:coreProperties>
</file>

<file path=docProps/custom.xml><?xml version="1.0" encoding="utf-8"?>
<Properties xmlns="http://schemas.openxmlformats.org/officeDocument/2006/custom-properties" xmlns:vt="http://schemas.openxmlformats.org/officeDocument/2006/docPropsVTypes"/>
</file>