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Pairwise contrasts among exposure zones (averaged over survey years) and among survey years (averaged over exposure zones). Values are rate ratios (RR) of estimated means, first level / second level, with 95% credible intervals [CrI] and exceedance probability Pr(RR&gt;1). Averages are on the log scale with equal weights. Bold: 95% CrI excludes 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2459"/>
        <w:gridCol w:w="3615"/>
        <w:gridCol w:w="3615"/>
        <w:gridCol w:w="3615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(averaged over 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[0.52, 1.26]; Pr(RR&gt;1)=0.15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1.33 [1.15, 1.55]; Pr(RR&gt;1)=1.00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[0.88, 2.45]; Pr(RR&gt;1)=0.94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[0.72, 1.74];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[0.92, 1.25];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[0.78, 2.21]; Pr(RR&gt;1)=0.88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[0.64, 1.46];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1.21 [1.05, 1.39];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1.75 [1.07, 2.83]; Pr(RR&gt;1)=0.99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[0.86, 2.24];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0.81 [0.68, 0.95];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[0.51, 1.56]; Pr(RR&gt;1)=0.33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[0.77, 1.89];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[0.78, 1.06];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[0.69, 1.96]; Pr(RR&gt;1)=0.75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[0.55, 1.35]; Pr(RR&gt;1)=0.23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[0.97, 1.31];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[0.79, 2.23]; Pr(RR&gt;1)=0.87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(averaged over exposures)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0.47 [0.41, 0.54];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0.88 [0.83, 0.94];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[0.76, 1.10]; Pr(RR&gt;1)=0.18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0.81 [0.71, 0.92];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[0.91, 1.03];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0.66 [0.54, 0.79];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0.87 [0.76, 1.00];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[0.93, 1.06];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0.71 [0.59, 0.86];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1.72 [1.50, 1.97];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1.09 [1.02, 1.16];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0.72 [0.59, 0.87];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1.86 [1.63, 2.13];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1.12 [1.05, 1.20];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0.78 [0.65, 0.94]; Pr(RR&gt;1)=0.01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2017 − 2020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[0.95, 1.24]; Pr(RR&gt;1)=0.87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[0.97, 1.10]; Pr(RR&gt;1)=0.81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[0.90, 1.32]; Pr(RR&gt;1)=0.81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2026-10-30T11:16:52Z</dcterms:modified>
  <cp:category/>
</cp:coreProperties>
</file>