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Deep / shallow rate ratio (RR) with 95% credible interval and Pr(RR&gt;1), within each exposure zone and averaged over zones.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4"/>
        <w:gridCol w:w="1352"/>
        <w:gridCol w:w="2001"/>
        <w:gridCol w:w="1346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 [95% CrI]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Pr(RR&gt;1)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density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[0.89, 1.45]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[1.04, 1.85]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[0.78, 1.37]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 [0.59, 0.96]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zones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[0.92, 1.20]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richness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[0.92, 1.13]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richness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[1.07, 1.36]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richness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[0.91, 1.15]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richness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[0.97, 1.19]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richness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zones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[1.02, 1.14]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biomass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[0.69, 1.41]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biomass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[0.73, 1.67]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biomass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[0.49, 1.14]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biomass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[0.72, 1.50]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biomass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zones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[0.78, 1.16]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2026-10-23T09:34:59Z</dcterms:modified>
  <cp:category/>
</cp:coreProperties>
</file>