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Pairwise contrasts among exposure zones (averaged over survey years) and among survey years (averaged over exposure zones). Values are rate ratios (RR) of estimated means, first level / second level, with 95% credible intervals [CrI] and exceedance probability Pr(RR&gt;1). Averages are on the log scale with equal weights. Bold: 95% CrI excludes 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2459"/>
        <w:gridCol w:w="3615"/>
        <w:gridCol w:w="3615"/>
        <w:gridCol w:w="3615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(averaged over 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[0.52, 1.26]; Pr(RR&gt;1)=0.15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1.33 [1.15, 1.55]; Pr(RR&gt;1)=1.00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[0.88, 2.45]; Pr(RR&gt;1)=0.94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[0.72, 1.74];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[0.92, 1.25]; Pr(RR&gt;1)=0.82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[0.78, 2.21]; Pr(RR&gt;1)=0.88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[0.64, 1.46]; Pr(RR&gt;1)=0.43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1.21 [1.05, 1.39];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1.75 [1.07, 2.83]; Pr(RR&gt;1)=0.99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[0.86, 2.24]; Pr(RR&gt;1)=0.92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0.81 [0.68, 0.95];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[0.51, 1.56]; Pr(RR&gt;1)=0.33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[0.77, 1.89];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[0.78, 1.06];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[0.69, 1.96]; Pr(RR&gt;1)=0.75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[0.55, 1.35]; Pr(RR&gt;1)=0.23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[0.97, 1.31];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[0.79, 2.23]; Pr(RR&gt;1)=0.87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(averaged over exposures)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0.47 [0.41, 0.54];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0.88 [0.83, 0.94];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[0.76, 1.10]; Pr(RR&gt;1)=0.18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0.81 [0.71, 0.92];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[0.91, 1.03]; Pr(RR&gt;1)=0.14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0.66 [0.54, 0.79]; Pr(RR&gt;1)=0.00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2011 − 2020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0.87 [0.76, 1.00];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[0.93, 1.06]; Pr(RR&gt;1)=0.44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0.71 [0.59, 0.86]; Pr(RR&gt;1)=0.00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2015 − 2017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1.72 [1.50, 1.97];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1.09 [1.02, 1.16];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0.72 [0.59, 0.87]; Pr(RR&gt;1)=0.00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2015 − 2020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1.86 [1.63, 2.13];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1.12 [1.05, 1.20];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0.78 [0.65, 0.94]; Pr(RR&gt;1)=0.01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2017 − 2020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[0.95, 1.24]; Pr(RR&gt;1)=0.87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[0.97, 1.10]; Pr(RR&gt;1)=0.81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[0.90, 1.32]; Pr(RR&gt;1)=0.81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2026-10-30T10:20:19Z</dcterms:modified>
  <cp:category/>
</cp:coreProperties>
</file>