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Number of contrasts with strong evidence (exceedance probability &gt; 0.95) with and without a site random intercept.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74"/>
        <w:gridCol w:w="3651"/>
        <w:gridCol w:w="1352"/>
        <w:gridCol w:w="3444"/>
        <w:gridCol w:w="3126"/>
        <w:gridCol w:w="4556"/>
        <w:gridCol w:w="4043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Contrasts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Strong evidence, pooled 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Strong evidence, site 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Contrasts whose evidence category differs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Strong in pooled but not in site model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 richness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zones within each year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 richness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Years within each exposure zone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biomass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zones within each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biomass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Years within each exposure zone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density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zones within each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density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Years within each exposure zone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2026-10-30T10:01:19Z</dcterms:modified>
  <cp:category/>
</cp:coreProperties>
</file>