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r>
        <w:t xml:space="preserve"/>
      </w:r>
    </w:p>
    <w:p>
      <w:pPr>
        <w:spacing w:after="200" w:before="0"/>
        <w:jc w:val="center"/>
      </w:pPr>
      <w:r>
        <w:drawing>
          <wp:inline distT="0" distB="0" distL="0" distR="0">
            <wp:extent cx="4572000" cy="95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952500"/>
                    </a:xfrm>
                    <a:prstGeom prst="rect">
                      <a:avLst/>
                    </a:prstGeom>
                  </pic:spPr>
                </pic:pic>
              </a:graphicData>
            </a:graphic>
          </wp:inline>
        </w:drawing>
      </w:r>
    </w:p>
    <w:p>
      <w:pPr>
        <w:spacing w:after="100" w:before="600"/>
        <w:jc w:val="center"/>
      </w:pPr>
      <w:r>
        <w:rPr>
          <w:rFonts w:ascii="Calibri" w:cs="Calibri" w:eastAsia="Calibri" w:hAnsi="Calibri"/>
          <w:b/>
          <w:bCs/>
          <w:color w:val="E8930E"/>
          <w:spacing w:val="200"/>
          <w:sz w:val="28"/>
          <w:szCs w:val="28"/>
        </w:rPr>
        <w:t xml:space="preserve">BRAND GUIDELINES</w:t>
      </w:r>
    </w:p>
    <w:p>
      <w:pPr>
        <w:spacing w:after="400" w:before="60"/>
        <w:jc w:val="center"/>
      </w:pPr>
      <w:r>
        <w:rPr>
          <w:rFonts w:ascii="Calibri" w:cs="Calibri" w:eastAsia="Calibri" w:hAnsi="Calibri"/>
          <w:i/>
          <w:iCs/>
          <w:color w:val="475569"/>
          <w:sz w:val="28"/>
          <w:szCs w:val="28"/>
        </w:rPr>
        <w:t xml:space="preserve">Your Future. One Smart Step Away.</w:t>
      </w:r>
    </w:p>
    <w:p>
      <w:pPr>
        <w:spacing w:after="60" w:before="1000"/>
        <w:jc w:val="center"/>
      </w:pPr>
      <w:r>
        <w:rPr>
          <w:rFonts w:ascii="Calibri" w:cs="Calibri" w:eastAsia="Calibri" w:hAnsi="Calibri"/>
          <w:color w:val="475569"/>
          <w:sz w:val="20"/>
          <w:szCs w:val="20"/>
        </w:rPr>
        <w:t xml:space="preserve">Prepared for</w:t>
      </w:r>
    </w:p>
    <w:p>
      <w:pPr>
        <w:spacing w:after="40" w:before="40"/>
        <w:jc w:val="center"/>
      </w:pPr>
      <w:r>
        <w:rPr>
          <w:rFonts w:ascii="Calibri" w:cs="Calibri" w:eastAsia="Calibri" w:hAnsi="Calibri"/>
          <w:b/>
          <w:bCs/>
          <w:color w:val="1F2937"/>
          <w:sz w:val="24"/>
          <w:szCs w:val="24"/>
        </w:rPr>
        <w:t xml:space="preserve">MagicWorks IT Solutions Private Limited</w:t>
      </w:r>
    </w:p>
    <w:p>
      <w:pPr>
        <w:spacing w:after="600" w:before="30"/>
        <w:jc w:val="center"/>
      </w:pPr>
      <w:r>
        <w:rPr>
          <w:rFonts w:ascii="Calibri" w:cs="Calibri" w:eastAsia="Calibri" w:hAnsi="Calibri"/>
          <w:color w:val="1E3A8A"/>
          <w:sz w:val="20"/>
          <w:szCs w:val="20"/>
        </w:rPr>
        <w:t xml:space="preserve">distancembacollege.com</w:t>
      </w:r>
    </w:p>
    <w:p>
      <w:pPr>
        <w:spacing w:after="40" w:before="600"/>
        <w:jc w:val="center"/>
      </w:pPr>
      <w:r>
        <w:rPr>
          <w:rFonts w:ascii="Calibri" w:cs="Calibri" w:eastAsia="Calibri" w:hAnsi="Calibri"/>
          <w:color w:val="475569"/>
          <w:sz w:val="18"/>
          <w:szCs w:val="18"/>
        </w:rPr>
        <w:t xml:space="preserve">Version 2.0 — Final  |  June 2026</w:t>
      </w:r>
    </w:p>
    <w:p>
      <w:pPr>
        <w:pStyle w:val="Heading1"/>
        <w:pageBreakBefore/>
        <w:spacing w:after="200" w:before="360"/>
      </w:pPr>
      <w:r>
        <w:rPr>
          <w:rFonts w:ascii="Calibri" w:cs="Calibri" w:eastAsia="Calibri" w:hAnsi="Calibri"/>
          <w:b/>
          <w:bCs/>
          <w:color w:val="0B1F4D"/>
          <w:sz w:val="44"/>
          <w:szCs w:val="44"/>
        </w:rPr>
        <w:t xml:space="preserve">01  Introduction</w:t>
      </w:r>
    </w:p>
    <w:p>
      <w:pPr>
        <w:pStyle w:val="Heading2"/>
        <w:pBdr>
          <w:bottom w:val="single" w:color="E8930E" w:sz="6" w:space="4"/>
        </w:pBdr>
        <w:spacing w:after="140" w:before="280"/>
      </w:pPr>
      <w:r>
        <w:rPr>
          <w:rFonts w:ascii="Calibri" w:cs="Calibri" w:eastAsia="Calibri" w:hAnsi="Calibri"/>
          <w:b/>
          <w:bCs/>
          <w:color w:val="0B1F4D"/>
          <w:sz w:val="30"/>
          <w:szCs w:val="30"/>
        </w:rPr>
        <w:t xml:space="preserve">How to use this document</w:t>
      </w:r>
    </w:p>
    <w:p>
      <w:pPr>
        <w:spacing w:after="80" w:before="80" w:line="300"/>
        <w:jc w:val="left"/>
      </w:pPr>
      <w:r>
        <w:rPr>
          <w:rFonts w:ascii="Calibri" w:cs="Calibri" w:eastAsia="Calibri" w:hAnsi="Calibri"/>
          <w:b w:val="false"/>
          <w:bCs w:val="false"/>
          <w:i w:val="false"/>
          <w:iCs w:val="false"/>
          <w:color w:val="1F2937"/>
          <w:sz w:val="22"/>
          <w:szCs w:val="22"/>
        </w:rPr>
        <w:t xml:space="preserve">This is the single source of truth for the Distance MBA College brand. It defines how the brand looks, sounds, and behaves across every touchpoint, with primary focus on the web platform and digital marketing channels that drive the business.</w:t>
      </w:r>
    </w:p>
    <w:p>
      <w:pPr>
        <w:spacing w:after="80" w:before="80" w:line="300"/>
        <w:jc w:val="left"/>
      </w:pPr>
      <w:r>
        <w:rPr>
          <w:rFonts w:ascii="Calibri" w:cs="Calibri" w:eastAsia="Calibri" w:hAnsi="Calibri"/>
          <w:b w:val="false"/>
          <w:bCs w:val="false"/>
          <w:i w:val="false"/>
          <w:iCs w:val="false"/>
          <w:color w:val="1F2937"/>
          <w:sz w:val="22"/>
          <w:szCs w:val="22"/>
        </w:rPr>
        <w:t xml:space="preserve">Anyone designing, developing, writing, or marketing for Distance MBA College should follow these rules. Consistency is not aesthetic preference, it is what turns recognition into trust, and trust into the leads that power the business.</w:t>
      </w:r>
    </w:p>
    <w:p>
      <w:pPr>
        <w:pStyle w:val="Heading2"/>
        <w:pBdr>
          <w:bottom w:val="single" w:color="E8930E" w:sz="6" w:space="4"/>
        </w:pBdr>
        <w:spacing w:after="140" w:before="280"/>
      </w:pPr>
      <w:r>
        <w:rPr>
          <w:rFonts w:ascii="Calibri" w:cs="Calibri" w:eastAsia="Calibri" w:hAnsi="Calibri"/>
          <w:b/>
          <w:bCs/>
          <w:color w:val="0B1F4D"/>
          <w:sz w:val="30"/>
          <w:szCs w:val="30"/>
        </w:rPr>
        <w:t xml:space="preserve">What is new in version 2.0</w:t>
      </w:r>
    </w:p>
    <w:p>
      <w:pPr>
        <w:pStyle w:val="ListParagraph"/>
        <w:numPr>
          <w:ilvl w:val="0"/>
          <w:numId w:val="2"/>
        </w:numPr>
        <w:spacing w:after="40" w:before="40" w:line="300"/>
      </w:pPr>
      <w:r>
        <w:rPr>
          <w:rFonts w:ascii="Calibri" w:cs="Calibri" w:eastAsia="Calibri" w:hAnsi="Calibri"/>
          <w:b/>
          <w:bCs/>
          <w:color w:val="0B1F4D"/>
          <w:sz w:val="22"/>
          <w:szCs w:val="22"/>
        </w:rPr>
        <w:t xml:space="preserve">Refined logo system. </w:t>
      </w:r>
      <w:r>
        <w:rPr>
          <w:rFonts w:ascii="Calibri" w:cs="Calibri" w:eastAsia="Calibri" w:hAnsi="Calibri"/>
          <w:color w:val="1F2937"/>
          <w:sz w:val="22"/>
          <w:szCs w:val="22"/>
        </w:rPr>
        <w:t xml:space="preserve">The original house+arc icon has been kept and crisped, with the wordmark reset in Poppins and “MBA” elevated as the hero word. A complete suite of variants, including reverse, monochrome, monogram, and icon-only, is now provided.</w:t>
      </w:r>
    </w:p>
    <w:p>
      <w:pPr>
        <w:pStyle w:val="ListParagraph"/>
        <w:numPr>
          <w:ilvl w:val="0"/>
          <w:numId w:val="2"/>
        </w:numPr>
        <w:spacing w:after="40" w:before="40" w:line="300"/>
      </w:pPr>
      <w:r>
        <w:rPr>
          <w:rFonts w:ascii="Calibri" w:cs="Calibri" w:eastAsia="Calibri" w:hAnsi="Calibri"/>
          <w:b/>
          <w:bCs/>
          <w:color w:val="0B1F4D"/>
          <w:sz w:val="22"/>
          <w:szCs w:val="22"/>
        </w:rPr>
        <w:t xml:space="preserve">Brand elements. </w:t>
      </w:r>
      <w:r>
        <w:rPr>
          <w:rFonts w:ascii="Calibri" w:cs="Calibri" w:eastAsia="Calibri" w:hAnsi="Calibri"/>
          <w:color w:val="1F2937"/>
          <w:sz w:val="22"/>
          <w:szCs w:val="22"/>
        </w:rPr>
        <w:t xml:space="preserve">A repeating house pattern, a verified-trust seal, and a section divider are now defined as part of the visual system.</w:t>
      </w:r>
    </w:p>
    <w:p>
      <w:pPr>
        <w:pStyle w:val="ListParagraph"/>
        <w:numPr>
          <w:ilvl w:val="0"/>
          <w:numId w:val="2"/>
        </w:numPr>
        <w:spacing w:after="40" w:before="40" w:line="300"/>
      </w:pPr>
      <w:r>
        <w:rPr>
          <w:rFonts w:ascii="Calibri" w:cs="Calibri" w:eastAsia="Calibri" w:hAnsi="Calibri"/>
          <w:b/>
          <w:bCs/>
          <w:color w:val="0B1F4D"/>
          <w:sz w:val="22"/>
          <w:szCs w:val="22"/>
        </w:rPr>
        <w:t xml:space="preserve">Application examples. </w:t>
      </w:r>
      <w:r>
        <w:rPr>
          <w:rFonts w:ascii="Calibri" w:cs="Calibri" w:eastAsia="Calibri" w:hAnsi="Calibri"/>
          <w:color w:val="1F2937"/>
          <w:sz w:val="22"/>
          <w:szCs w:val="22"/>
        </w:rPr>
        <w:t xml:space="preserve">Three full application mockups, website hero, A4 one-pager, and counsellor-led email, demonstrate the brand in real use.</w:t>
      </w:r>
    </w:p>
    <w:p>
      <w:pPr>
        <w:pStyle w:val="ListParagraph"/>
        <w:numPr>
          <w:ilvl w:val="0"/>
          <w:numId w:val="2"/>
        </w:numPr>
        <w:spacing w:after="40" w:before="40" w:line="300"/>
      </w:pPr>
      <w:r>
        <w:rPr>
          <w:rFonts w:ascii="Calibri" w:cs="Calibri" w:eastAsia="Calibri" w:hAnsi="Calibri"/>
          <w:b/>
          <w:bCs/>
          <w:color w:val="0B1F4D"/>
          <w:sz w:val="22"/>
          <w:szCs w:val="22"/>
        </w:rPr>
        <w:t xml:space="preserve">Implementation roadmap. </w:t>
      </w:r>
      <w:r>
        <w:rPr>
          <w:rFonts w:ascii="Calibri" w:cs="Calibri" w:eastAsia="Calibri" w:hAnsi="Calibri"/>
          <w:color w:val="1F2937"/>
          <w:sz w:val="22"/>
          <w:szCs w:val="22"/>
        </w:rPr>
        <w:t xml:space="preserve">A phased rollout sequence so the brand can be adopted across web, marketing, and operations without disrupting current lead flow.</w:t>
      </w:r>
    </w:p>
    <w:p>
      <w:pPr>
        <w:pStyle w:val="Heading2"/>
        <w:pBdr>
          <w:bottom w:val="single" w:color="E8930E" w:sz="6" w:space="4"/>
        </w:pBdr>
        <w:spacing w:after="140" w:before="280"/>
      </w:pPr>
      <w:r>
        <w:rPr>
          <w:rFonts w:ascii="Calibri" w:cs="Calibri" w:eastAsia="Calibri" w:hAnsi="Calibri"/>
          <w:b/>
          <w:bCs/>
          <w:color w:val="0B1F4D"/>
          <w:sz w:val="30"/>
          <w:szCs w:val="30"/>
        </w:rPr>
        <w:t xml:space="preserve">Brand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CBD5E1" w:sz="4"/>
              <w:left w:val="single" w:color="CBD5E1" w:sz="4"/>
              <w:bottom w:val="single" w:color="CBD5E1" w:sz="4"/>
              <w:right w:val="single" w:color="CBD5E1" w:sz="4"/>
            </w:tcBorders>
            <w:shd w:fill="F1F5F9" w:val="clear"/>
            <w:tcMar>
              <w:top w:type="dxa" w:w="140"/>
              <w:left w:type="dxa" w:w="180"/>
              <w:bottom w:type="dxa" w:w="140"/>
              <w:right w:type="dxa" w:w="180"/>
            </w:tcMar>
            <w:vAlign w:val="center"/>
          </w:tcPr>
          <w:p>
            <w:pPr>
              <w:spacing w:after="20" w:before="20"/>
              <w:jc w:val="left"/>
            </w:pPr>
            <w:r>
              <w:rPr>
                <w:rFonts w:ascii="Calibri" w:cs="Calibri" w:eastAsia="Calibri" w:hAnsi="Calibri"/>
                <w:b/>
                <w:bCs/>
                <w:color w:val="0B1F4D"/>
                <w:sz w:val="20"/>
                <w:szCs w:val="20"/>
              </w:rPr>
              <w:t xml:space="preserve">Brand</w:t>
            </w:r>
          </w:p>
        </w:tc>
        <w:tc>
          <w:tcPr>
            <w:tcW w:type="dxa" w:w="6660"/>
            <w:tcBorders>
              <w:top w:val="single" w:color="CBD5E1" w:sz="4"/>
              <w:left w:val="single" w:color="CBD5E1" w:sz="4"/>
              <w:bottom w:val="single" w:color="CBD5E1" w:sz="4"/>
              <w:right w:val="single" w:color="CBD5E1" w:sz="4"/>
            </w:tcBorders>
            <w:tcMar>
              <w:top w:type="dxa" w:w="140"/>
              <w:left w:type="dxa" w:w="180"/>
              <w:bottom w:type="dxa" w:w="140"/>
              <w:right w:type="dxa" w:w="180"/>
            </w:tcMar>
            <w:vAlign w:val="center"/>
          </w:tcPr>
          <w:p>
            <w:pPr>
              <w:spacing w:after="20" w:before="20"/>
              <w:jc w:val="left"/>
            </w:pPr>
            <w:r>
              <w:rPr>
                <w:rFonts w:ascii="Calibri" w:cs="Calibri" w:eastAsia="Calibri" w:hAnsi="Calibri"/>
                <w:b w:val="false"/>
                <w:bCs w:val="false"/>
                <w:color w:val="1F2937"/>
                <w:sz w:val="20"/>
                <w:szCs w:val="20"/>
              </w:rPr>
              <w:t xml:space="preserve">Distance MBA College</w:t>
            </w:r>
          </w:p>
        </w:tc>
      </w:tr>
      <w:tr>
        <w:tc>
          <w:tcPr>
            <w:tcW w:type="dxa" w:w="2700"/>
            <w:tcBorders>
              <w:top w:val="single" w:color="CBD5E1" w:sz="4"/>
              <w:left w:val="single" w:color="CBD5E1" w:sz="4"/>
              <w:bottom w:val="single" w:color="CBD5E1" w:sz="4"/>
              <w:right w:val="single" w:color="CBD5E1" w:sz="4"/>
            </w:tcBorders>
            <w:shd w:fill="F1F5F9" w:val="clear"/>
            <w:tcMar>
              <w:top w:type="dxa" w:w="140"/>
              <w:left w:type="dxa" w:w="180"/>
              <w:bottom w:type="dxa" w:w="140"/>
              <w:right w:type="dxa" w:w="180"/>
            </w:tcMar>
            <w:vAlign w:val="center"/>
          </w:tcPr>
          <w:p>
            <w:pPr>
              <w:spacing w:after="20" w:before="20"/>
              <w:jc w:val="left"/>
            </w:pPr>
            <w:r>
              <w:rPr>
                <w:rFonts w:ascii="Calibri" w:cs="Calibri" w:eastAsia="Calibri" w:hAnsi="Calibri"/>
                <w:b/>
                <w:bCs/>
                <w:color w:val="0B1F4D"/>
                <w:sz w:val="20"/>
                <w:szCs w:val="20"/>
              </w:rPr>
              <w:t xml:space="preserve">Parent Company</w:t>
            </w:r>
          </w:p>
        </w:tc>
        <w:tc>
          <w:tcPr>
            <w:tcW w:type="dxa" w:w="6660"/>
            <w:tcBorders>
              <w:top w:val="single" w:color="CBD5E1" w:sz="4"/>
              <w:left w:val="single" w:color="CBD5E1" w:sz="4"/>
              <w:bottom w:val="single" w:color="CBD5E1" w:sz="4"/>
              <w:right w:val="single" w:color="CBD5E1" w:sz="4"/>
            </w:tcBorders>
            <w:tcMar>
              <w:top w:type="dxa" w:w="140"/>
              <w:left w:type="dxa" w:w="180"/>
              <w:bottom w:type="dxa" w:w="140"/>
              <w:right w:type="dxa" w:w="180"/>
            </w:tcMar>
            <w:vAlign w:val="center"/>
          </w:tcPr>
          <w:p>
            <w:pPr>
              <w:spacing w:after="20" w:before="20"/>
              <w:jc w:val="left"/>
            </w:pPr>
            <w:r>
              <w:rPr>
                <w:rFonts w:ascii="Calibri" w:cs="Calibri" w:eastAsia="Calibri" w:hAnsi="Calibri"/>
                <w:b w:val="false"/>
                <w:bCs w:val="false"/>
                <w:color w:val="1F2937"/>
                <w:sz w:val="20"/>
                <w:szCs w:val="20"/>
              </w:rPr>
              <w:t xml:space="preserve">MagicWorks IT Solutions Private Limited</w:t>
            </w:r>
          </w:p>
        </w:tc>
      </w:tr>
      <w:tr>
        <w:tc>
          <w:tcPr>
            <w:tcW w:type="dxa" w:w="2700"/>
            <w:tcBorders>
              <w:top w:val="single" w:color="CBD5E1" w:sz="4"/>
              <w:left w:val="single" w:color="CBD5E1" w:sz="4"/>
              <w:bottom w:val="single" w:color="CBD5E1" w:sz="4"/>
              <w:right w:val="single" w:color="CBD5E1" w:sz="4"/>
            </w:tcBorders>
            <w:shd w:fill="F1F5F9" w:val="clear"/>
            <w:tcMar>
              <w:top w:type="dxa" w:w="140"/>
              <w:left w:type="dxa" w:w="180"/>
              <w:bottom w:type="dxa" w:w="140"/>
              <w:right w:type="dxa" w:w="180"/>
            </w:tcMar>
            <w:vAlign w:val="center"/>
          </w:tcPr>
          <w:p>
            <w:pPr>
              <w:spacing w:after="20" w:before="20"/>
              <w:jc w:val="left"/>
            </w:pPr>
            <w:r>
              <w:rPr>
                <w:rFonts w:ascii="Calibri" w:cs="Calibri" w:eastAsia="Calibri" w:hAnsi="Calibri"/>
                <w:b/>
                <w:bCs/>
                <w:color w:val="0B1F4D"/>
                <w:sz w:val="20"/>
                <w:szCs w:val="20"/>
              </w:rPr>
              <w:t xml:space="preserve">Incorporated</w:t>
            </w:r>
          </w:p>
        </w:tc>
        <w:tc>
          <w:tcPr>
            <w:tcW w:type="dxa" w:w="6660"/>
            <w:tcBorders>
              <w:top w:val="single" w:color="CBD5E1" w:sz="4"/>
              <w:left w:val="single" w:color="CBD5E1" w:sz="4"/>
              <w:bottom w:val="single" w:color="CBD5E1" w:sz="4"/>
              <w:right w:val="single" w:color="CBD5E1" w:sz="4"/>
            </w:tcBorders>
            <w:tcMar>
              <w:top w:type="dxa" w:w="140"/>
              <w:left w:type="dxa" w:w="180"/>
              <w:bottom w:type="dxa" w:w="140"/>
              <w:right w:type="dxa" w:w="180"/>
            </w:tcMar>
            <w:vAlign w:val="center"/>
          </w:tcPr>
          <w:p>
            <w:pPr>
              <w:spacing w:after="20" w:before="20"/>
              <w:jc w:val="left"/>
            </w:pPr>
            <w:r>
              <w:rPr>
                <w:rFonts w:ascii="Calibri" w:cs="Calibri" w:eastAsia="Calibri" w:hAnsi="Calibri"/>
                <w:b w:val="false"/>
                <w:bCs w:val="false"/>
                <w:color w:val="1F2937"/>
                <w:sz w:val="20"/>
                <w:szCs w:val="20"/>
              </w:rPr>
              <w:t xml:space="preserve">29 September 2012</w:t>
            </w:r>
          </w:p>
        </w:tc>
      </w:tr>
      <w:tr>
        <w:tc>
          <w:tcPr>
            <w:tcW w:type="dxa" w:w="2700"/>
            <w:tcBorders>
              <w:top w:val="single" w:color="CBD5E1" w:sz="4"/>
              <w:left w:val="single" w:color="CBD5E1" w:sz="4"/>
              <w:bottom w:val="single" w:color="CBD5E1" w:sz="4"/>
              <w:right w:val="single" w:color="CBD5E1" w:sz="4"/>
            </w:tcBorders>
            <w:shd w:fill="F1F5F9" w:val="clear"/>
            <w:tcMar>
              <w:top w:type="dxa" w:w="140"/>
              <w:left w:type="dxa" w:w="180"/>
              <w:bottom w:type="dxa" w:w="140"/>
              <w:right w:type="dxa" w:w="180"/>
            </w:tcMar>
            <w:vAlign w:val="center"/>
          </w:tcPr>
          <w:p>
            <w:pPr>
              <w:spacing w:after="20" w:before="20"/>
              <w:jc w:val="left"/>
            </w:pPr>
            <w:r>
              <w:rPr>
                <w:rFonts w:ascii="Calibri" w:cs="Calibri" w:eastAsia="Calibri" w:hAnsi="Calibri"/>
                <w:b/>
                <w:bCs/>
                <w:color w:val="0B1F4D"/>
                <w:sz w:val="20"/>
                <w:szCs w:val="20"/>
              </w:rPr>
              <w:t xml:space="preserve">Founder &amp; Director</w:t>
            </w:r>
          </w:p>
        </w:tc>
        <w:tc>
          <w:tcPr>
            <w:tcW w:type="dxa" w:w="6660"/>
            <w:tcBorders>
              <w:top w:val="single" w:color="CBD5E1" w:sz="4"/>
              <w:left w:val="single" w:color="CBD5E1" w:sz="4"/>
              <w:bottom w:val="single" w:color="CBD5E1" w:sz="4"/>
              <w:right w:val="single" w:color="CBD5E1" w:sz="4"/>
            </w:tcBorders>
            <w:tcMar>
              <w:top w:type="dxa" w:w="140"/>
              <w:left w:type="dxa" w:w="180"/>
              <w:bottom w:type="dxa" w:w="140"/>
              <w:right w:type="dxa" w:w="180"/>
            </w:tcMar>
            <w:vAlign w:val="center"/>
          </w:tcPr>
          <w:p>
            <w:pPr>
              <w:spacing w:after="20" w:before="20"/>
              <w:jc w:val="left"/>
            </w:pPr>
            <w:r>
              <w:rPr>
                <w:rFonts w:ascii="Calibri" w:cs="Calibri" w:eastAsia="Calibri" w:hAnsi="Calibri"/>
                <w:b w:val="false"/>
                <w:bCs w:val="false"/>
                <w:color w:val="1F2937"/>
                <w:sz w:val="20"/>
                <w:szCs w:val="20"/>
              </w:rPr>
              <w:t xml:space="preserve">Mr. Swapnil Avdhutrao Ughade</w:t>
            </w:r>
          </w:p>
        </w:tc>
      </w:tr>
      <w:tr>
        <w:tc>
          <w:tcPr>
            <w:tcW w:type="dxa" w:w="2700"/>
            <w:tcBorders>
              <w:top w:val="single" w:color="CBD5E1" w:sz="4"/>
              <w:left w:val="single" w:color="CBD5E1" w:sz="4"/>
              <w:bottom w:val="single" w:color="CBD5E1" w:sz="4"/>
              <w:right w:val="single" w:color="CBD5E1" w:sz="4"/>
            </w:tcBorders>
            <w:shd w:fill="F1F5F9" w:val="clear"/>
            <w:tcMar>
              <w:top w:type="dxa" w:w="140"/>
              <w:left w:type="dxa" w:w="180"/>
              <w:bottom w:type="dxa" w:w="140"/>
              <w:right w:type="dxa" w:w="180"/>
            </w:tcMar>
            <w:vAlign w:val="center"/>
          </w:tcPr>
          <w:p>
            <w:pPr>
              <w:spacing w:after="20" w:before="20"/>
              <w:jc w:val="left"/>
            </w:pPr>
            <w:r>
              <w:rPr>
                <w:rFonts w:ascii="Calibri" w:cs="Calibri" w:eastAsia="Calibri" w:hAnsi="Calibri"/>
                <w:b/>
                <w:bCs/>
                <w:color w:val="0B1F4D"/>
                <w:sz w:val="20"/>
                <w:szCs w:val="20"/>
              </w:rPr>
              <w:t xml:space="preserve">Category</w:t>
            </w:r>
          </w:p>
        </w:tc>
        <w:tc>
          <w:tcPr>
            <w:tcW w:type="dxa" w:w="6660"/>
            <w:tcBorders>
              <w:top w:val="single" w:color="CBD5E1" w:sz="4"/>
              <w:left w:val="single" w:color="CBD5E1" w:sz="4"/>
              <w:bottom w:val="single" w:color="CBD5E1" w:sz="4"/>
              <w:right w:val="single" w:color="CBD5E1" w:sz="4"/>
            </w:tcBorders>
            <w:tcMar>
              <w:top w:type="dxa" w:w="140"/>
              <w:left w:type="dxa" w:w="180"/>
              <w:bottom w:type="dxa" w:w="140"/>
              <w:right w:type="dxa" w:w="180"/>
            </w:tcMar>
            <w:vAlign w:val="center"/>
          </w:tcPr>
          <w:p>
            <w:pPr>
              <w:spacing w:after="20" w:before="20"/>
              <w:jc w:val="left"/>
            </w:pPr>
            <w:r>
              <w:rPr>
                <w:rFonts w:ascii="Calibri" w:cs="Calibri" w:eastAsia="Calibri" w:hAnsi="Calibri"/>
                <w:b w:val="false"/>
                <w:bCs w:val="false"/>
                <w:color w:val="1F2937"/>
                <w:sz w:val="20"/>
                <w:szCs w:val="20"/>
              </w:rPr>
              <w:t xml:space="preserve">Higher Education Discovery &amp; Advisory Platform</w:t>
            </w:r>
          </w:p>
        </w:tc>
      </w:tr>
      <w:tr>
        <w:tc>
          <w:tcPr>
            <w:tcW w:type="dxa" w:w="2700"/>
            <w:tcBorders>
              <w:top w:val="single" w:color="CBD5E1" w:sz="4"/>
              <w:left w:val="single" w:color="CBD5E1" w:sz="4"/>
              <w:bottom w:val="single" w:color="CBD5E1" w:sz="4"/>
              <w:right w:val="single" w:color="CBD5E1" w:sz="4"/>
            </w:tcBorders>
            <w:shd w:fill="F1F5F9" w:val="clear"/>
            <w:tcMar>
              <w:top w:type="dxa" w:w="140"/>
              <w:left w:type="dxa" w:w="180"/>
              <w:bottom w:type="dxa" w:w="140"/>
              <w:right w:type="dxa" w:w="180"/>
            </w:tcMar>
            <w:vAlign w:val="center"/>
          </w:tcPr>
          <w:p>
            <w:pPr>
              <w:spacing w:after="20" w:before="20"/>
              <w:jc w:val="left"/>
            </w:pPr>
            <w:r>
              <w:rPr>
                <w:rFonts w:ascii="Calibri" w:cs="Calibri" w:eastAsia="Calibri" w:hAnsi="Calibri"/>
                <w:b/>
                <w:bCs/>
                <w:color w:val="0B1F4D"/>
                <w:sz w:val="20"/>
                <w:szCs w:val="20"/>
              </w:rPr>
              <w:t xml:space="preserve">Business Model</w:t>
            </w:r>
          </w:p>
        </w:tc>
        <w:tc>
          <w:tcPr>
            <w:tcW w:type="dxa" w:w="6660"/>
            <w:tcBorders>
              <w:top w:val="single" w:color="CBD5E1" w:sz="4"/>
              <w:left w:val="single" w:color="CBD5E1" w:sz="4"/>
              <w:bottom w:val="single" w:color="CBD5E1" w:sz="4"/>
              <w:right w:val="single" w:color="CBD5E1" w:sz="4"/>
            </w:tcBorders>
            <w:tcMar>
              <w:top w:type="dxa" w:w="140"/>
              <w:left w:type="dxa" w:w="180"/>
              <w:bottom w:type="dxa" w:w="140"/>
              <w:right w:type="dxa" w:w="180"/>
            </w:tcMar>
            <w:vAlign w:val="center"/>
          </w:tcPr>
          <w:p>
            <w:pPr>
              <w:spacing w:after="20" w:before="20"/>
              <w:jc w:val="left"/>
            </w:pPr>
            <w:r>
              <w:rPr>
                <w:rFonts w:ascii="Calibri" w:cs="Calibri" w:eastAsia="Calibri" w:hAnsi="Calibri"/>
                <w:b w:val="false"/>
                <w:bCs w:val="false"/>
                <w:color w:val="1F2937"/>
                <w:sz w:val="20"/>
                <w:szCs w:val="20"/>
              </w:rPr>
              <w:t xml:space="preserve">Lead generation for distance and online MBA programmes from accredited Indian universities</w:t>
            </w:r>
          </w:p>
        </w:tc>
      </w:tr>
      <w:tr>
        <w:tc>
          <w:tcPr>
            <w:tcW w:type="dxa" w:w="2700"/>
            <w:tcBorders>
              <w:top w:val="single" w:color="CBD5E1" w:sz="4"/>
              <w:left w:val="single" w:color="CBD5E1" w:sz="4"/>
              <w:bottom w:val="single" w:color="CBD5E1" w:sz="4"/>
              <w:right w:val="single" w:color="CBD5E1" w:sz="4"/>
            </w:tcBorders>
            <w:shd w:fill="F1F5F9" w:val="clear"/>
            <w:tcMar>
              <w:top w:type="dxa" w:w="140"/>
              <w:left w:type="dxa" w:w="180"/>
              <w:bottom w:type="dxa" w:w="140"/>
              <w:right w:type="dxa" w:w="180"/>
            </w:tcMar>
            <w:vAlign w:val="center"/>
          </w:tcPr>
          <w:p>
            <w:pPr>
              <w:spacing w:after="20" w:before="20"/>
              <w:jc w:val="left"/>
            </w:pPr>
            <w:r>
              <w:rPr>
                <w:rFonts w:ascii="Calibri" w:cs="Calibri" w:eastAsia="Calibri" w:hAnsi="Calibri"/>
                <w:b/>
                <w:bCs/>
                <w:color w:val="0B1F4D"/>
                <w:sz w:val="20"/>
                <w:szCs w:val="20"/>
              </w:rPr>
              <w:t xml:space="preserve">Current Scale</w:t>
            </w:r>
          </w:p>
        </w:tc>
        <w:tc>
          <w:tcPr>
            <w:tcW w:type="dxa" w:w="6660"/>
            <w:tcBorders>
              <w:top w:val="single" w:color="CBD5E1" w:sz="4"/>
              <w:left w:val="single" w:color="CBD5E1" w:sz="4"/>
              <w:bottom w:val="single" w:color="CBD5E1" w:sz="4"/>
              <w:right w:val="single" w:color="CBD5E1" w:sz="4"/>
            </w:tcBorders>
            <w:tcMar>
              <w:top w:type="dxa" w:w="140"/>
              <w:left w:type="dxa" w:w="180"/>
              <w:bottom w:type="dxa" w:w="140"/>
              <w:right w:type="dxa" w:w="180"/>
            </w:tcMar>
            <w:vAlign w:val="center"/>
          </w:tcPr>
          <w:p>
            <w:pPr>
              <w:spacing w:after="20" w:before="20"/>
              <w:jc w:val="left"/>
            </w:pPr>
            <w:r>
              <w:rPr>
                <w:rFonts w:ascii="Calibri" w:cs="Calibri" w:eastAsia="Calibri" w:hAnsi="Calibri"/>
                <w:b w:val="false"/>
                <w:bCs w:val="false"/>
                <w:color w:val="1F2937"/>
                <w:sz w:val="20"/>
                <w:szCs w:val="20"/>
              </w:rPr>
              <w:t xml:space="preserve">Approximately 100 qualified leads per day from the web platform</w:t>
            </w:r>
          </w:p>
        </w:tc>
      </w:tr>
    </w:tbl>
    <w:p>
      <w:pPr>
        <w:pStyle w:val="Heading1"/>
        <w:pageBreakBefore/>
        <w:spacing w:after="200" w:before="360"/>
      </w:pPr>
      <w:r>
        <w:rPr>
          <w:rFonts w:ascii="Calibri" w:cs="Calibri" w:eastAsia="Calibri" w:hAnsi="Calibri"/>
          <w:b/>
          <w:bCs/>
          <w:color w:val="0B1F4D"/>
          <w:sz w:val="44"/>
          <w:szCs w:val="44"/>
        </w:rPr>
        <w:t xml:space="preserve">02  Brand Foundation</w:t>
      </w:r>
    </w:p>
    <w:p>
      <w:pPr>
        <w:pStyle w:val="Heading2"/>
        <w:pBdr>
          <w:bottom w:val="single" w:color="E8930E" w:sz="6" w:space="4"/>
        </w:pBdr>
        <w:spacing w:after="140" w:before="280"/>
      </w:pPr>
      <w:r>
        <w:rPr>
          <w:rFonts w:ascii="Calibri" w:cs="Calibri" w:eastAsia="Calibri" w:hAnsi="Calibri"/>
          <w:b/>
          <w:bCs/>
          <w:color w:val="0B1F4D"/>
          <w:sz w:val="30"/>
          <w:szCs w:val="30"/>
        </w:rPr>
        <w:t xml:space="preserve">The story we tell</w:t>
      </w:r>
    </w:p>
    <w:p>
      <w:pPr>
        <w:spacing w:after="80" w:before="80" w:line="300"/>
        <w:jc w:val="left"/>
      </w:pPr>
      <w:r>
        <w:rPr>
          <w:rFonts w:ascii="Calibri" w:cs="Calibri" w:eastAsia="Calibri" w:hAnsi="Calibri"/>
          <w:b w:val="false"/>
          <w:bCs w:val="false"/>
          <w:i w:val="false"/>
          <w:iCs w:val="false"/>
          <w:color w:val="1F2937"/>
          <w:sz w:val="22"/>
          <w:szCs w:val="22"/>
        </w:rPr>
        <w:t xml:space="preserve">Most learners chasing a distance MBA in India are not students in a hostel. They are working professionals between twenty four and thirty eight, balancing jobs, families, EMIs, and a quiet hunger to grow. They face a wall of confusing options, agent-driven advice, and brochures that all sound identical. Decisions worth lakhs of rupees and years of effort get made on incomplete information.</w:t>
      </w:r>
    </w:p>
    <w:p>
      <w:pPr>
        <w:spacing w:after="80" w:before="80" w:line="300"/>
        <w:jc w:val="left"/>
      </w:pPr>
      <w:r>
        <w:rPr>
          <w:rFonts w:ascii="Calibri" w:cs="Calibri" w:eastAsia="Calibri" w:hAnsi="Calibri"/>
          <w:b w:val="false"/>
          <w:bCs w:val="false"/>
          <w:i w:val="false"/>
          <w:iCs w:val="false"/>
          <w:color w:val="1F2937"/>
          <w:sz w:val="22"/>
          <w:szCs w:val="22"/>
        </w:rPr>
        <w:t xml:space="preserve">Distance MBA College exists to fix that asymmetry. We bring every credible distance and online MBA programme into one place, lay it open for comparison, and pair the data with human counsellors who give honest guidance, not commission-driven nudges. We are the calm, structured guide between confusion and clarity.</w:t>
      </w:r>
    </w:p>
    <w:p>
      <w:pPr>
        <w:pStyle w:val="Heading2"/>
        <w:pBdr>
          <w:bottom w:val="single" w:color="E8930E" w:sz="6" w:space="4"/>
        </w:pBdr>
        <w:spacing w:after="140" w:before="280"/>
      </w:pPr>
      <w:r>
        <w:rPr>
          <w:rFonts w:ascii="Calibri" w:cs="Calibri" w:eastAsia="Calibri" w:hAnsi="Calibri"/>
          <w:b/>
          <w:bCs/>
          <w:color w:val="0B1F4D"/>
          <w:sz w:val="30"/>
          <w:szCs w:val="30"/>
        </w:rPr>
        <w:t xml:space="preserve">Mission</w:t>
      </w:r>
    </w:p>
    <w:p>
      <w:pPr>
        <w:shd w:fill="F1F5F9" w:val="clear"/>
        <w:spacing w:after="80" w:before="80" w:line="300"/>
        <w:ind w:left="240"/>
        <w:jc w:val="left"/>
      </w:pPr>
      <w:r>
        <w:rPr>
          <w:rFonts w:ascii="Calibri" w:cs="Calibri" w:eastAsia="Calibri" w:hAnsi="Calibri"/>
          <w:b w:val="false"/>
          <w:bCs w:val="false"/>
          <w:i w:val="false"/>
          <w:iCs w:val="false"/>
          <w:color w:val="1F2937"/>
          <w:sz w:val="22"/>
          <w:szCs w:val="22"/>
        </w:rPr>
        <w:t xml:space="preserve">To make every learner's decision about a distance or online MBA simple, transparent, and right for their life, by combining a comprehensive university directory with sincere, expert counselling.</w:t>
      </w:r>
    </w:p>
    <w:p>
      <w:pPr>
        <w:pStyle w:val="Heading2"/>
        <w:pBdr>
          <w:bottom w:val="single" w:color="E8930E" w:sz="6" w:space="4"/>
        </w:pBdr>
        <w:spacing w:after="140" w:before="280"/>
      </w:pPr>
      <w:r>
        <w:rPr>
          <w:rFonts w:ascii="Calibri" w:cs="Calibri" w:eastAsia="Calibri" w:hAnsi="Calibri"/>
          <w:b/>
          <w:bCs/>
          <w:color w:val="0B1F4D"/>
          <w:sz w:val="30"/>
          <w:szCs w:val="30"/>
        </w:rPr>
        <w:t xml:space="preserve">Vision</w:t>
      </w:r>
    </w:p>
    <w:p>
      <w:pPr>
        <w:shd w:fill="F1F5F9" w:val="clear"/>
        <w:spacing w:after="80" w:before="80" w:line="300"/>
        <w:ind w:left="240"/>
        <w:jc w:val="left"/>
      </w:pPr>
      <w:r>
        <w:rPr>
          <w:rFonts w:ascii="Calibri" w:cs="Calibri" w:eastAsia="Calibri" w:hAnsi="Calibri"/>
          <w:b w:val="false"/>
          <w:bCs w:val="false"/>
          <w:i w:val="false"/>
          <w:iCs w:val="false"/>
          <w:color w:val="1F2937"/>
          <w:sz w:val="22"/>
          <w:szCs w:val="22"/>
        </w:rPr>
        <w:t xml:space="preserve">To be India's most trusted starting point for working professionals choosing a flexible MBA, recognised for the quality of our guidance and the careers it helps build.</w:t>
      </w:r>
    </w:p>
    <w:p>
      <w:pPr>
        <w:pStyle w:val="Heading2"/>
        <w:pBdr>
          <w:bottom w:val="single" w:color="E8930E" w:sz="6" w:space="4"/>
        </w:pBdr>
        <w:spacing w:after="140" w:before="280"/>
      </w:pPr>
      <w:r>
        <w:rPr>
          <w:rFonts w:ascii="Calibri" w:cs="Calibri" w:eastAsia="Calibri" w:hAnsi="Calibri"/>
          <w:b/>
          <w:bCs/>
          <w:color w:val="0B1F4D"/>
          <w:sz w:val="30"/>
          <w:szCs w:val="30"/>
        </w:rPr>
        <w:t xml:space="preserve">Brand values</w:t>
      </w:r>
    </w:p>
    <w:p>
      <w:pPr>
        <w:pStyle w:val="ListParagraph"/>
        <w:numPr>
          <w:ilvl w:val="0"/>
          <w:numId w:val="2"/>
        </w:numPr>
        <w:spacing w:after="40" w:before="40" w:line="300"/>
      </w:pPr>
      <w:r>
        <w:rPr>
          <w:rFonts w:ascii="Calibri" w:cs="Calibri" w:eastAsia="Calibri" w:hAnsi="Calibri"/>
          <w:b/>
          <w:bCs/>
          <w:color w:val="0B1F4D"/>
          <w:sz w:val="22"/>
          <w:szCs w:val="22"/>
        </w:rPr>
        <w:t xml:space="preserve">Clarity. </w:t>
      </w:r>
      <w:r>
        <w:rPr>
          <w:rFonts w:ascii="Calibri" w:cs="Calibri" w:eastAsia="Calibri" w:hAnsi="Calibri"/>
          <w:color w:val="1F2937"/>
          <w:sz w:val="22"/>
          <w:szCs w:val="22"/>
        </w:rPr>
        <w:t xml:space="preserve">We replace jargon with plain language and choices with comparisons.</w:t>
      </w:r>
    </w:p>
    <w:p>
      <w:pPr>
        <w:pStyle w:val="ListParagraph"/>
        <w:numPr>
          <w:ilvl w:val="0"/>
          <w:numId w:val="2"/>
        </w:numPr>
        <w:spacing w:after="40" w:before="40" w:line="300"/>
      </w:pPr>
      <w:r>
        <w:rPr>
          <w:rFonts w:ascii="Calibri" w:cs="Calibri" w:eastAsia="Calibri" w:hAnsi="Calibri"/>
          <w:b/>
          <w:bCs/>
          <w:color w:val="0B1F4D"/>
          <w:sz w:val="22"/>
          <w:szCs w:val="22"/>
        </w:rPr>
        <w:t xml:space="preserve">Honesty. </w:t>
      </w:r>
      <w:r>
        <w:rPr>
          <w:rFonts w:ascii="Calibri" w:cs="Calibri" w:eastAsia="Calibri" w:hAnsi="Calibri"/>
          <w:color w:val="1F2937"/>
          <w:sz w:val="22"/>
          <w:szCs w:val="22"/>
        </w:rPr>
        <w:t xml:space="preserve">We say what is right for the learner, not what is easiest to sell.</w:t>
      </w:r>
    </w:p>
    <w:p>
      <w:pPr>
        <w:pStyle w:val="ListParagraph"/>
        <w:numPr>
          <w:ilvl w:val="0"/>
          <w:numId w:val="2"/>
        </w:numPr>
        <w:spacing w:after="40" w:before="40" w:line="300"/>
      </w:pPr>
      <w:r>
        <w:rPr>
          <w:rFonts w:ascii="Calibri" w:cs="Calibri" w:eastAsia="Calibri" w:hAnsi="Calibri"/>
          <w:b/>
          <w:bCs/>
          <w:color w:val="0B1F4D"/>
          <w:sz w:val="22"/>
          <w:szCs w:val="22"/>
        </w:rPr>
        <w:t xml:space="preserve">Discipline. </w:t>
      </w:r>
      <w:r>
        <w:rPr>
          <w:rFonts w:ascii="Calibri" w:cs="Calibri" w:eastAsia="Calibri" w:hAnsi="Calibri"/>
          <w:color w:val="1F2937"/>
          <w:sz w:val="22"/>
          <w:szCs w:val="22"/>
        </w:rPr>
        <w:t xml:space="preserve">Education is a long game. Our counselling reflects that seriousness.</w:t>
      </w:r>
    </w:p>
    <w:p>
      <w:pPr>
        <w:pStyle w:val="ListParagraph"/>
        <w:numPr>
          <w:ilvl w:val="0"/>
          <w:numId w:val="2"/>
        </w:numPr>
        <w:spacing w:after="40" w:before="40" w:line="300"/>
      </w:pPr>
      <w:r>
        <w:rPr>
          <w:rFonts w:ascii="Calibri" w:cs="Calibri" w:eastAsia="Calibri" w:hAnsi="Calibri"/>
          <w:b/>
          <w:bCs/>
          <w:color w:val="0B1F4D"/>
          <w:sz w:val="22"/>
          <w:szCs w:val="22"/>
        </w:rPr>
        <w:t xml:space="preserve">Accessibility. </w:t>
      </w:r>
      <w:r>
        <w:rPr>
          <w:rFonts w:ascii="Calibri" w:cs="Calibri" w:eastAsia="Calibri" w:hAnsi="Calibri"/>
          <w:color w:val="1F2937"/>
          <w:sz w:val="22"/>
          <w:szCs w:val="22"/>
        </w:rPr>
        <w:t xml:space="preserve">Every working professional, regardless of city or background, deserves the same quality of guidance.</w:t>
      </w:r>
    </w:p>
    <w:p>
      <w:pPr>
        <w:pStyle w:val="ListParagraph"/>
        <w:numPr>
          <w:ilvl w:val="0"/>
          <w:numId w:val="2"/>
        </w:numPr>
        <w:spacing w:after="40" w:before="40" w:line="300"/>
      </w:pPr>
      <w:r>
        <w:rPr>
          <w:rFonts w:ascii="Calibri" w:cs="Calibri" w:eastAsia="Calibri" w:hAnsi="Calibri"/>
          <w:b/>
          <w:bCs/>
          <w:color w:val="0B1F4D"/>
          <w:sz w:val="22"/>
          <w:szCs w:val="22"/>
        </w:rPr>
        <w:t xml:space="preserve">Outcome focus. </w:t>
      </w:r>
      <w:r>
        <w:rPr>
          <w:rFonts w:ascii="Calibri" w:cs="Calibri" w:eastAsia="Calibri" w:hAnsi="Calibri"/>
          <w:color w:val="1F2937"/>
          <w:sz w:val="22"/>
          <w:szCs w:val="22"/>
        </w:rPr>
        <w:t xml:space="preserve">A course is a means. A career is the end. We orient every conversation around that.</w:t>
      </w:r>
    </w:p>
    <w:p>
      <w:pPr>
        <w:pStyle w:val="Heading2"/>
        <w:pBdr>
          <w:bottom w:val="single" w:color="E8930E" w:sz="6" w:space="4"/>
        </w:pBdr>
        <w:spacing w:after="140" w:before="280"/>
      </w:pPr>
      <w:r>
        <w:rPr>
          <w:rFonts w:ascii="Calibri" w:cs="Calibri" w:eastAsia="Calibri" w:hAnsi="Calibri"/>
          <w:b/>
          <w:bCs/>
          <w:color w:val="0B1F4D"/>
          <w:sz w:val="30"/>
          <w:szCs w:val="30"/>
        </w:rPr>
        <w:t xml:space="preserve">Brand promise</w:t>
      </w:r>
    </w:p>
    <w:p>
      <w:pPr>
        <w:shd w:fill="F1F5F9" w:val="clear"/>
        <w:spacing w:after="200" w:before="200" w:line="300"/>
        <w:jc w:val="center"/>
      </w:pPr>
      <w:r>
        <w:rPr>
          <w:rFonts w:ascii="Calibri" w:cs="Calibri" w:eastAsia="Calibri" w:hAnsi="Calibri"/>
          <w:b w:val="false"/>
          <w:bCs w:val="false"/>
          <w:i/>
          <w:iCs/>
          <w:color w:val="0B1F4D"/>
          <w:sz w:val="26"/>
          <w:szCs w:val="26"/>
        </w:rPr>
        <w:t xml:space="preserve">“Talk to us once and you will know exactly which programme is right for you, and why.”</w:t>
      </w:r>
    </w:p>
    <w:p>
      <w:pPr>
        <w:pStyle w:val="Heading1"/>
        <w:pageBreakBefore/>
        <w:spacing w:after="200" w:before="360"/>
      </w:pPr>
      <w:r>
        <w:rPr>
          <w:rFonts w:ascii="Calibri" w:cs="Calibri" w:eastAsia="Calibri" w:hAnsi="Calibri"/>
          <w:b/>
          <w:bCs/>
          <w:color w:val="0B1F4D"/>
          <w:sz w:val="44"/>
          <w:szCs w:val="44"/>
        </w:rPr>
        <w:t xml:space="preserve">03  Personality and Positioning</w:t>
      </w:r>
    </w:p>
    <w:p>
      <w:pPr>
        <w:pStyle w:val="Heading2"/>
        <w:pBdr>
          <w:bottom w:val="single" w:color="E8930E" w:sz="6" w:space="4"/>
        </w:pBdr>
        <w:spacing w:after="140" w:before="280"/>
      </w:pPr>
      <w:r>
        <w:rPr>
          <w:rFonts w:ascii="Calibri" w:cs="Calibri" w:eastAsia="Calibri" w:hAnsi="Calibri"/>
          <w:b/>
          <w:bCs/>
          <w:color w:val="0B1F4D"/>
          <w:sz w:val="30"/>
          <w:szCs w:val="30"/>
        </w:rPr>
        <w:t xml:space="preserve">Target audience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BD5E1" w:sz="4"/>
              <w:left w:val="single" w:color="CBD5E1" w:sz="4"/>
              <w:bottom w:val="single" w:color="CBD5E1" w:sz="4"/>
              <w:right w:val="single" w:color="CBD5E1" w:sz="4"/>
            </w:tcBorders>
            <w:shd w:fill="0B1F4D" w:val="clear"/>
            <w:tcMar>
              <w:top w:type="dxa" w:w="140"/>
              <w:left w:type="dxa" w:w="180"/>
              <w:bottom w:type="dxa" w:w="140"/>
              <w:right w:type="dxa" w:w="180"/>
            </w:tcMar>
            <w:vAlign w:val="center"/>
          </w:tcPr>
          <w:p>
            <w:pPr>
              <w:spacing w:after="20" w:before="20"/>
              <w:jc w:val="left"/>
            </w:pPr>
            <w:r>
              <w:rPr>
                <w:rFonts w:ascii="Calibri" w:cs="Calibri" w:eastAsia="Calibri" w:hAnsi="Calibri"/>
                <w:b/>
                <w:bCs/>
                <w:color w:val="FFFFFF"/>
                <w:sz w:val="20"/>
                <w:szCs w:val="20"/>
              </w:rPr>
              <w:t xml:space="preserve">Segment</w:t>
            </w:r>
          </w:p>
        </w:tc>
        <w:tc>
          <w:tcPr>
            <w:tcW w:type="dxa" w:w="6240"/>
            <w:tcBorders>
              <w:top w:val="single" w:color="CBD5E1" w:sz="4"/>
              <w:left w:val="single" w:color="CBD5E1" w:sz="4"/>
              <w:bottom w:val="single" w:color="CBD5E1" w:sz="4"/>
              <w:right w:val="single" w:color="CBD5E1" w:sz="4"/>
            </w:tcBorders>
            <w:shd w:fill="0B1F4D" w:val="clear"/>
            <w:tcMar>
              <w:top w:type="dxa" w:w="140"/>
              <w:left w:type="dxa" w:w="180"/>
              <w:bottom w:type="dxa" w:w="140"/>
              <w:right w:type="dxa" w:w="180"/>
            </w:tcMar>
            <w:vAlign w:val="center"/>
          </w:tcPr>
          <w:p>
            <w:pPr>
              <w:spacing w:after="20" w:before="20"/>
              <w:jc w:val="left"/>
            </w:pPr>
            <w:r>
              <w:rPr>
                <w:rFonts w:ascii="Calibri" w:cs="Calibri" w:eastAsia="Calibri" w:hAnsi="Calibri"/>
                <w:b/>
                <w:bCs/>
                <w:color w:val="FFFFFF"/>
                <w:sz w:val="20"/>
                <w:szCs w:val="20"/>
              </w:rPr>
              <w:t xml:space="preserve">Description</w:t>
            </w:r>
          </w:p>
        </w:tc>
      </w:tr>
      <w:tr>
        <w:tc>
          <w:tcPr>
            <w:tcW w:type="dxa" w:w="3120"/>
            <w:tcBorders>
              <w:top w:val="single" w:color="CBD5E1" w:sz="4"/>
              <w:left w:val="single" w:color="CBD5E1" w:sz="4"/>
              <w:bottom w:val="single" w:color="CBD5E1" w:sz="4"/>
              <w:right w:val="single" w:color="CBD5E1" w:sz="4"/>
            </w:tcBorders>
            <w:shd w:fill="F1F5F9" w:val="clear"/>
            <w:tcMar>
              <w:top w:type="dxa" w:w="140"/>
              <w:left w:type="dxa" w:w="180"/>
              <w:bottom w:type="dxa" w:w="140"/>
              <w:right w:type="dxa" w:w="180"/>
            </w:tcMar>
            <w:vAlign w:val="center"/>
          </w:tcPr>
          <w:p>
            <w:pPr>
              <w:spacing w:after="20" w:before="20"/>
              <w:jc w:val="left"/>
            </w:pPr>
            <w:r>
              <w:rPr>
                <w:rFonts w:ascii="Calibri" w:cs="Calibri" w:eastAsia="Calibri" w:hAnsi="Calibri"/>
                <w:b/>
                <w:bCs/>
                <w:color w:val="1F2937"/>
                <w:sz w:val="20"/>
                <w:szCs w:val="20"/>
              </w:rPr>
              <w:t xml:space="preserve">The Stuck Professional (Primary)</w:t>
            </w:r>
          </w:p>
        </w:tc>
        <w:tc>
          <w:tcPr>
            <w:tcW w:type="dxa" w:w="6240"/>
            <w:tcBorders>
              <w:top w:val="single" w:color="CBD5E1" w:sz="4"/>
              <w:left w:val="single" w:color="CBD5E1" w:sz="4"/>
              <w:bottom w:val="single" w:color="CBD5E1" w:sz="4"/>
              <w:right w:val="single" w:color="CBD5E1" w:sz="4"/>
            </w:tcBorders>
            <w:tcMar>
              <w:top w:type="dxa" w:w="140"/>
              <w:left w:type="dxa" w:w="180"/>
              <w:bottom w:type="dxa" w:w="140"/>
              <w:right w:type="dxa" w:w="180"/>
            </w:tcMar>
            <w:vAlign w:val="center"/>
          </w:tcPr>
          <w:p>
            <w:pPr>
              <w:spacing w:after="20" w:before="20"/>
              <w:jc w:val="left"/>
            </w:pPr>
            <w:r>
              <w:rPr>
                <w:rFonts w:ascii="Calibri" w:cs="Calibri" w:eastAsia="Calibri" w:hAnsi="Calibri"/>
                <w:b w:val="false"/>
                <w:bCs w:val="false"/>
                <w:color w:val="1F2937"/>
                <w:sz w:val="20"/>
                <w:szCs w:val="20"/>
              </w:rPr>
              <w:t xml:space="preserve">Aged 26 to 38. Two to twelve years of work experience. Hit a ceiling, watching peers with MBAs promoted past them. Needs a credible MBA without quitting the job.</w:t>
            </w:r>
          </w:p>
        </w:tc>
      </w:tr>
      <w:tr>
        <w:tc>
          <w:tcPr>
            <w:tcW w:type="dxa" w:w="3120"/>
            <w:tcBorders>
              <w:top w:val="single" w:color="CBD5E1" w:sz="4"/>
              <w:left w:val="single" w:color="CBD5E1" w:sz="4"/>
              <w:bottom w:val="single" w:color="CBD5E1" w:sz="4"/>
              <w:right w:val="single" w:color="CBD5E1" w:sz="4"/>
            </w:tcBorders>
            <w:shd w:fill="F1F5F9" w:val="clear"/>
            <w:tcMar>
              <w:top w:type="dxa" w:w="140"/>
              <w:left w:type="dxa" w:w="180"/>
              <w:bottom w:type="dxa" w:w="140"/>
              <w:right w:type="dxa" w:w="180"/>
            </w:tcMar>
            <w:vAlign w:val="center"/>
          </w:tcPr>
          <w:p>
            <w:pPr>
              <w:spacing w:after="20" w:before="20"/>
              <w:jc w:val="left"/>
            </w:pPr>
            <w:r>
              <w:rPr>
                <w:rFonts w:ascii="Calibri" w:cs="Calibri" w:eastAsia="Calibri" w:hAnsi="Calibri"/>
                <w:b/>
                <w:bCs/>
                <w:color w:val="1F2937"/>
                <w:sz w:val="20"/>
                <w:szCs w:val="20"/>
              </w:rPr>
              <w:t xml:space="preserve">The Career Switcher</w:t>
            </w:r>
          </w:p>
        </w:tc>
        <w:tc>
          <w:tcPr>
            <w:tcW w:type="dxa" w:w="6240"/>
            <w:tcBorders>
              <w:top w:val="single" w:color="CBD5E1" w:sz="4"/>
              <w:left w:val="single" w:color="CBD5E1" w:sz="4"/>
              <w:bottom w:val="single" w:color="CBD5E1" w:sz="4"/>
              <w:right w:val="single" w:color="CBD5E1" w:sz="4"/>
            </w:tcBorders>
            <w:tcMar>
              <w:top w:type="dxa" w:w="140"/>
              <w:left w:type="dxa" w:w="180"/>
              <w:bottom w:type="dxa" w:w="140"/>
              <w:right w:type="dxa" w:w="180"/>
            </w:tcMar>
            <w:vAlign w:val="center"/>
          </w:tcPr>
          <w:p>
            <w:pPr>
              <w:spacing w:after="20" w:before="20"/>
              <w:jc w:val="left"/>
            </w:pPr>
            <w:r>
              <w:rPr>
                <w:rFonts w:ascii="Calibri" w:cs="Calibri" w:eastAsia="Calibri" w:hAnsi="Calibri"/>
                <w:b w:val="false"/>
                <w:bCs w:val="false"/>
                <w:color w:val="1F2937"/>
                <w:sz w:val="20"/>
                <w:szCs w:val="20"/>
              </w:rPr>
              <w:t xml:space="preserve">Aged 24 to 32. Wants to move from a technical role into management. Uses the MBA as a credential bridge.</w:t>
            </w:r>
          </w:p>
        </w:tc>
      </w:tr>
      <w:tr>
        <w:tc>
          <w:tcPr>
            <w:tcW w:type="dxa" w:w="3120"/>
            <w:tcBorders>
              <w:top w:val="single" w:color="CBD5E1" w:sz="4"/>
              <w:left w:val="single" w:color="CBD5E1" w:sz="4"/>
              <w:bottom w:val="single" w:color="CBD5E1" w:sz="4"/>
              <w:right w:val="single" w:color="CBD5E1" w:sz="4"/>
            </w:tcBorders>
            <w:shd w:fill="F1F5F9" w:val="clear"/>
            <w:tcMar>
              <w:top w:type="dxa" w:w="140"/>
              <w:left w:type="dxa" w:w="180"/>
              <w:bottom w:type="dxa" w:w="140"/>
              <w:right w:type="dxa" w:w="180"/>
            </w:tcMar>
            <w:vAlign w:val="center"/>
          </w:tcPr>
          <w:p>
            <w:pPr>
              <w:spacing w:after="20" w:before="20"/>
              <w:jc w:val="left"/>
            </w:pPr>
            <w:r>
              <w:rPr>
                <w:rFonts w:ascii="Calibri" w:cs="Calibri" w:eastAsia="Calibri" w:hAnsi="Calibri"/>
                <w:b/>
                <w:bCs/>
                <w:color w:val="1F2937"/>
                <w:sz w:val="20"/>
                <w:szCs w:val="20"/>
              </w:rPr>
              <w:t xml:space="preserve">The Returning Learner</w:t>
            </w:r>
          </w:p>
        </w:tc>
        <w:tc>
          <w:tcPr>
            <w:tcW w:type="dxa" w:w="6240"/>
            <w:tcBorders>
              <w:top w:val="single" w:color="CBD5E1" w:sz="4"/>
              <w:left w:val="single" w:color="CBD5E1" w:sz="4"/>
              <w:bottom w:val="single" w:color="CBD5E1" w:sz="4"/>
              <w:right w:val="single" w:color="CBD5E1" w:sz="4"/>
            </w:tcBorders>
            <w:tcMar>
              <w:top w:type="dxa" w:w="140"/>
              <w:left w:type="dxa" w:w="180"/>
              <w:bottom w:type="dxa" w:w="140"/>
              <w:right w:type="dxa" w:w="180"/>
            </w:tcMar>
            <w:vAlign w:val="center"/>
          </w:tcPr>
          <w:p>
            <w:pPr>
              <w:spacing w:after="20" w:before="20"/>
              <w:jc w:val="left"/>
            </w:pPr>
            <w:r>
              <w:rPr>
                <w:rFonts w:ascii="Calibri" w:cs="Calibri" w:eastAsia="Calibri" w:hAnsi="Calibri"/>
                <w:b w:val="false"/>
                <w:bCs w:val="false"/>
                <w:color w:val="1F2937"/>
                <w:sz w:val="20"/>
                <w:szCs w:val="20"/>
              </w:rPr>
              <w:t xml:space="preserve">Aged 30 to 45. Often women returning after a career break, or professionals from tier 2/3 cities.</w:t>
            </w:r>
          </w:p>
        </w:tc>
      </w:tr>
      <w:tr>
        <w:tc>
          <w:tcPr>
            <w:tcW w:type="dxa" w:w="3120"/>
            <w:tcBorders>
              <w:top w:val="single" w:color="CBD5E1" w:sz="4"/>
              <w:left w:val="single" w:color="CBD5E1" w:sz="4"/>
              <w:bottom w:val="single" w:color="CBD5E1" w:sz="4"/>
              <w:right w:val="single" w:color="CBD5E1" w:sz="4"/>
            </w:tcBorders>
            <w:shd w:fill="F1F5F9" w:val="clear"/>
            <w:tcMar>
              <w:top w:type="dxa" w:w="140"/>
              <w:left w:type="dxa" w:w="180"/>
              <w:bottom w:type="dxa" w:w="140"/>
              <w:right w:type="dxa" w:w="180"/>
            </w:tcMar>
            <w:vAlign w:val="center"/>
          </w:tcPr>
          <w:p>
            <w:pPr>
              <w:spacing w:after="20" w:before="20"/>
              <w:jc w:val="left"/>
            </w:pPr>
            <w:r>
              <w:rPr>
                <w:rFonts w:ascii="Calibri" w:cs="Calibri" w:eastAsia="Calibri" w:hAnsi="Calibri"/>
                <w:b/>
                <w:bCs/>
                <w:color w:val="1F2937"/>
                <w:sz w:val="20"/>
                <w:szCs w:val="20"/>
              </w:rPr>
              <w:t xml:space="preserve">The Aspirant Family</w:t>
            </w:r>
          </w:p>
        </w:tc>
        <w:tc>
          <w:tcPr>
            <w:tcW w:type="dxa" w:w="6240"/>
            <w:tcBorders>
              <w:top w:val="single" w:color="CBD5E1" w:sz="4"/>
              <w:left w:val="single" w:color="CBD5E1" w:sz="4"/>
              <w:bottom w:val="single" w:color="CBD5E1" w:sz="4"/>
              <w:right w:val="single" w:color="CBD5E1" w:sz="4"/>
            </w:tcBorders>
            <w:tcMar>
              <w:top w:type="dxa" w:w="140"/>
              <w:left w:type="dxa" w:w="180"/>
              <w:bottom w:type="dxa" w:w="140"/>
              <w:right w:type="dxa" w:w="180"/>
            </w:tcMar>
            <w:vAlign w:val="center"/>
          </w:tcPr>
          <w:p>
            <w:pPr>
              <w:spacing w:after="20" w:before="20"/>
              <w:jc w:val="left"/>
            </w:pPr>
            <w:r>
              <w:rPr>
                <w:rFonts w:ascii="Calibri" w:cs="Calibri" w:eastAsia="Calibri" w:hAnsi="Calibri"/>
                <w:b w:val="false"/>
                <w:bCs w:val="false"/>
                <w:color w:val="1F2937"/>
                <w:sz w:val="20"/>
                <w:szCs w:val="20"/>
              </w:rPr>
              <w:t xml:space="preserve">Parents and spouses researching on behalf of the learner. The silent decision influencer.</w:t>
            </w:r>
          </w:p>
        </w:tc>
      </w:tr>
    </w:tbl>
    <w:p>
      <w:pPr>
        <w:pStyle w:val="Heading2"/>
        <w:pBdr>
          <w:bottom w:val="single" w:color="E8930E" w:sz="6" w:space="4"/>
        </w:pBdr>
        <w:spacing w:after="140" w:before="280"/>
      </w:pPr>
      <w:r>
        <w:rPr>
          <w:rFonts w:ascii="Calibri" w:cs="Calibri" w:eastAsia="Calibri" w:hAnsi="Calibri"/>
          <w:b/>
          <w:bCs/>
          <w:color w:val="0B1F4D"/>
          <w:sz w:val="30"/>
          <w:szCs w:val="30"/>
        </w:rPr>
        <w:t xml:space="preserve">Brand archetype</w:t>
      </w:r>
    </w:p>
    <w:p>
      <w:pPr>
        <w:spacing w:after="80" w:before="80" w:line="300"/>
        <w:jc w:val="left"/>
      </w:pPr>
      <w:r>
        <w:rPr>
          <w:rFonts w:ascii="Calibri" w:cs="Calibri" w:eastAsia="Calibri" w:hAnsi="Calibri"/>
          <w:b/>
          <w:bCs/>
          <w:i w:val="false"/>
          <w:iCs w:val="false"/>
          <w:color w:val="0B1F4D"/>
          <w:sz w:val="24"/>
          <w:szCs w:val="24"/>
        </w:rPr>
        <w:t xml:space="preserve">Primary: The Sage with a touch of The Caregiver.  </w:t>
      </w:r>
    </w:p>
    <w:p>
      <w:pPr>
        <w:spacing w:after="80" w:before="80" w:line="300"/>
        <w:jc w:val="left"/>
      </w:pPr>
      <w:r>
        <w:rPr>
          <w:rFonts w:ascii="Calibri" w:cs="Calibri" w:eastAsia="Calibri" w:hAnsi="Calibri"/>
          <w:b w:val="false"/>
          <w:bCs w:val="false"/>
          <w:i w:val="false"/>
          <w:iCs w:val="false"/>
          <w:color w:val="1F2937"/>
          <w:sz w:val="22"/>
          <w:szCs w:val="22"/>
        </w:rPr>
        <w:t xml:space="preserve">The Sage gives knowledge, perspective, and clarity. The Caregiver gives reassurance and human warmth. Sage alone reads as cold or academic. Caregiver alone reads as unserious. The blend, expert who actually cares, is the precise emotional gap our audience needs filled.</w:t>
      </w:r>
    </w:p>
    <w:p>
      <w:pPr>
        <w:pStyle w:val="Heading2"/>
        <w:pBdr>
          <w:bottom w:val="single" w:color="E8930E" w:sz="6" w:space="4"/>
        </w:pBdr>
        <w:spacing w:after="140" w:before="280"/>
      </w:pPr>
      <w:r>
        <w:rPr>
          <w:rFonts w:ascii="Calibri" w:cs="Calibri" w:eastAsia="Calibri" w:hAnsi="Calibri"/>
          <w:b/>
          <w:bCs/>
          <w:color w:val="0B1F4D"/>
          <w:sz w:val="30"/>
          <w:szCs w:val="30"/>
        </w:rPr>
        <w:t xml:space="preserve">Positioning statement</w:t>
      </w:r>
    </w:p>
    <w:p>
      <w:pPr>
        <w:shd w:fill="F1F5F9" w:val="clear"/>
        <w:spacing w:after="200" w:before="200" w:line="300"/>
        <w:ind w:left="240" w:right="240"/>
        <w:jc w:val="left"/>
      </w:pPr>
      <w:r>
        <w:rPr>
          <w:rFonts w:ascii="Calibri" w:cs="Calibri" w:eastAsia="Calibri" w:hAnsi="Calibri"/>
          <w:b w:val="false"/>
          <w:bCs w:val="false"/>
          <w:i/>
          <w:iCs/>
          <w:color w:val="1F2937"/>
          <w:sz w:val="22"/>
          <w:szCs w:val="22"/>
        </w:rPr>
        <w:t xml:space="preserve">For working professionals in India who feel stuck without a management degree, Distance MBA College is the honest advisory platform that brings every credible distance and online MBA into one comparable view, paired with counsellors who care about the right fit, not the easy sale.</w:t>
      </w:r>
    </w:p>
    <w:p>
      <w:pPr>
        <w:pStyle w:val="Heading1"/>
        <w:pageBreakBefore/>
        <w:spacing w:after="200" w:before="360"/>
      </w:pPr>
      <w:r>
        <w:rPr>
          <w:rFonts w:ascii="Calibri" w:cs="Calibri" w:eastAsia="Calibri" w:hAnsi="Calibri"/>
          <w:b/>
          <w:bCs/>
          <w:color w:val="0B1F4D"/>
          <w:sz w:val="44"/>
          <w:szCs w:val="44"/>
        </w:rPr>
        <w:t xml:space="preserve">04  Voice and Tone</w:t>
      </w:r>
    </w:p>
    <w:p>
      <w:pPr>
        <w:pStyle w:val="Heading2"/>
        <w:pBdr>
          <w:bottom w:val="single" w:color="E8930E" w:sz="6" w:space="4"/>
        </w:pBdr>
        <w:spacing w:after="140" w:before="280"/>
      </w:pPr>
      <w:r>
        <w:rPr>
          <w:rFonts w:ascii="Calibri" w:cs="Calibri" w:eastAsia="Calibri" w:hAnsi="Calibri"/>
          <w:b/>
          <w:bCs/>
          <w:color w:val="0B1F4D"/>
          <w:sz w:val="30"/>
          <w:szCs w:val="30"/>
        </w:rPr>
        <w:t xml:space="preserve">Our voice in one line</w:t>
      </w:r>
    </w:p>
    <w:p>
      <w:pPr>
        <w:shd w:fill="F1F5F9" w:val="clear"/>
        <w:spacing w:after="200" w:before="200" w:line="300"/>
        <w:ind w:left="240" w:right="240"/>
        <w:jc w:val="left"/>
      </w:pPr>
      <w:r>
        <w:rPr>
          <w:rFonts w:ascii="Calibri" w:cs="Calibri" w:eastAsia="Calibri" w:hAnsi="Calibri"/>
          <w:b w:val="false"/>
          <w:bCs w:val="false"/>
          <w:i/>
          <w:iCs/>
          <w:color w:val="0B1F4D"/>
          <w:sz w:val="26"/>
          <w:szCs w:val="26"/>
        </w:rPr>
        <w:t xml:space="preserve">A senior, well-read mentor explaining a serious decision over a cup of chai. Warm, but never wasteful with the listener's time.</w:t>
      </w:r>
    </w:p>
    <w:p>
      <w:pPr>
        <w:pStyle w:val="Heading2"/>
        <w:pBdr>
          <w:bottom w:val="single" w:color="E8930E" w:sz="6" w:space="4"/>
        </w:pBdr>
        <w:spacing w:after="140" w:before="280"/>
      </w:pPr>
      <w:r>
        <w:rPr>
          <w:rFonts w:ascii="Calibri" w:cs="Calibri" w:eastAsia="Calibri" w:hAnsi="Calibri"/>
          <w:b/>
          <w:bCs/>
          <w:color w:val="0B1F4D"/>
          <w:sz w:val="30"/>
          <w:szCs w:val="30"/>
        </w:rPr>
        <w:t xml:space="preserve">Voice principles</w:t>
      </w:r>
    </w:p>
    <w:p>
      <w:pPr>
        <w:pStyle w:val="ListParagraph"/>
        <w:numPr>
          <w:ilvl w:val="0"/>
          <w:numId w:val="2"/>
        </w:numPr>
        <w:spacing w:after="40" w:before="40" w:line="300"/>
      </w:pPr>
      <w:r>
        <w:rPr>
          <w:rFonts w:ascii="Calibri" w:cs="Calibri" w:eastAsia="Calibri" w:hAnsi="Calibri"/>
          <w:b/>
          <w:bCs/>
          <w:color w:val="0B1F4D"/>
          <w:sz w:val="22"/>
          <w:szCs w:val="22"/>
        </w:rPr>
        <w:t xml:space="preserve">Plain over polished. </w:t>
      </w:r>
      <w:r>
        <w:rPr>
          <w:rFonts w:ascii="Calibri" w:cs="Calibri" w:eastAsia="Calibri" w:hAnsi="Calibri"/>
          <w:color w:val="1F2937"/>
          <w:sz w:val="22"/>
          <w:szCs w:val="22"/>
        </w:rPr>
        <w:t xml:space="preserve">If a sentence sounds like a brochure, rewrite it.</w:t>
      </w:r>
    </w:p>
    <w:p>
      <w:pPr>
        <w:pStyle w:val="ListParagraph"/>
        <w:numPr>
          <w:ilvl w:val="0"/>
          <w:numId w:val="2"/>
        </w:numPr>
        <w:spacing w:after="40" w:before="40" w:line="300"/>
      </w:pPr>
      <w:r>
        <w:rPr>
          <w:rFonts w:ascii="Calibri" w:cs="Calibri" w:eastAsia="Calibri" w:hAnsi="Calibri"/>
          <w:b/>
          <w:bCs/>
          <w:color w:val="0B1F4D"/>
          <w:sz w:val="22"/>
          <w:szCs w:val="22"/>
        </w:rPr>
        <w:t xml:space="preserve">Specifics over slogans. </w:t>
      </w:r>
      <w:r>
        <w:rPr>
          <w:rFonts w:ascii="Calibri" w:cs="Calibri" w:eastAsia="Calibri" w:hAnsi="Calibri"/>
          <w:color w:val="1F2937"/>
          <w:sz w:val="22"/>
          <w:szCs w:val="22"/>
        </w:rPr>
        <w:t xml:space="preserve">“UGC-DEB recognised programmes from 47 universities” beats “the best courses around.”</w:t>
      </w:r>
    </w:p>
    <w:p>
      <w:pPr>
        <w:pStyle w:val="ListParagraph"/>
        <w:numPr>
          <w:ilvl w:val="0"/>
          <w:numId w:val="2"/>
        </w:numPr>
        <w:spacing w:after="40" w:before="40" w:line="300"/>
      </w:pPr>
      <w:r>
        <w:rPr>
          <w:rFonts w:ascii="Calibri" w:cs="Calibri" w:eastAsia="Calibri" w:hAnsi="Calibri"/>
          <w:b/>
          <w:bCs/>
          <w:color w:val="0B1F4D"/>
          <w:sz w:val="22"/>
          <w:szCs w:val="22"/>
        </w:rPr>
        <w:t xml:space="preserve">Calm over urgent. </w:t>
      </w:r>
      <w:r>
        <w:rPr>
          <w:rFonts w:ascii="Calibri" w:cs="Calibri" w:eastAsia="Calibri" w:hAnsi="Calibri"/>
          <w:color w:val="1F2937"/>
          <w:sz w:val="22"/>
          <w:szCs w:val="22"/>
        </w:rPr>
        <w:t xml:space="preserve">We do not shout, blink, or threaten. Authoritative brands earn trust through composure, not pressure.</w:t>
      </w:r>
    </w:p>
    <w:p>
      <w:pPr>
        <w:pStyle w:val="ListParagraph"/>
        <w:numPr>
          <w:ilvl w:val="0"/>
          <w:numId w:val="2"/>
        </w:numPr>
        <w:spacing w:after="40" w:before="40" w:line="300"/>
      </w:pPr>
      <w:r>
        <w:rPr>
          <w:rFonts w:ascii="Calibri" w:cs="Calibri" w:eastAsia="Calibri" w:hAnsi="Calibri"/>
          <w:b/>
          <w:bCs/>
          <w:color w:val="0B1F4D"/>
          <w:sz w:val="22"/>
          <w:szCs w:val="22"/>
        </w:rPr>
        <w:t xml:space="preserve">Helpful over clever. </w:t>
      </w:r>
      <w:r>
        <w:rPr>
          <w:rFonts w:ascii="Calibri" w:cs="Calibri" w:eastAsia="Calibri" w:hAnsi="Calibri"/>
          <w:color w:val="1F2937"/>
          <w:sz w:val="22"/>
          <w:szCs w:val="22"/>
        </w:rPr>
        <w:t xml:space="preserve">Clarity wins.</w:t>
      </w:r>
    </w:p>
    <w:p>
      <w:pPr>
        <w:pStyle w:val="ListParagraph"/>
        <w:numPr>
          <w:ilvl w:val="0"/>
          <w:numId w:val="2"/>
        </w:numPr>
        <w:spacing w:after="40" w:before="40" w:line="300"/>
      </w:pPr>
      <w:r>
        <w:rPr>
          <w:rFonts w:ascii="Calibri" w:cs="Calibri" w:eastAsia="Calibri" w:hAnsi="Calibri"/>
          <w:b/>
          <w:bCs/>
          <w:color w:val="0B1F4D"/>
          <w:sz w:val="22"/>
          <w:szCs w:val="22"/>
        </w:rPr>
        <w:t xml:space="preserve">Honest about trade-offs. </w:t>
      </w:r>
      <w:r>
        <w:rPr>
          <w:rFonts w:ascii="Calibri" w:cs="Calibri" w:eastAsia="Calibri" w:hAnsi="Calibri"/>
          <w:color w:val="1F2937"/>
          <w:sz w:val="22"/>
          <w:szCs w:val="22"/>
        </w:rPr>
        <w:t xml:space="preserve">Every programme has a downside. We say it. That honesty is our moat.</w:t>
      </w:r>
    </w:p>
    <w:p>
      <w:pPr>
        <w:pStyle w:val="Heading2"/>
        <w:pBdr>
          <w:bottom w:val="single" w:color="E8930E" w:sz="6" w:space="4"/>
        </w:pBdr>
        <w:spacing w:after="140" w:before="280"/>
      </w:pPr>
      <w:r>
        <w:rPr>
          <w:rFonts w:ascii="Calibri" w:cs="Calibri" w:eastAsia="Calibri" w:hAnsi="Calibri"/>
          <w:b/>
          <w:bCs/>
          <w:color w:val="0B1F4D"/>
          <w:sz w:val="30"/>
          <w:szCs w:val="30"/>
        </w:rPr>
        <w:t xml:space="preserve">Words we use, words we avoid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BD5E1" w:sz="4"/>
              <w:left w:val="single" w:color="CBD5E1" w:sz="4"/>
              <w:bottom w:val="single" w:color="CBD5E1" w:sz="4"/>
              <w:right w:val="single" w:color="CBD5E1" w:sz="4"/>
            </w:tcBorders>
            <w:shd w:fill="0B1F4D" w:val="clear"/>
            <w:tcMar>
              <w:top w:type="dxa" w:w="140"/>
              <w:left w:type="dxa" w:w="180"/>
              <w:bottom w:type="dxa" w:w="140"/>
              <w:right w:type="dxa" w:w="180"/>
            </w:tcMar>
            <w:vAlign w:val="center"/>
          </w:tcPr>
          <w:p>
            <w:pPr>
              <w:spacing w:after="20" w:before="20"/>
              <w:jc w:val="left"/>
            </w:pPr>
            <w:r>
              <w:rPr>
                <w:rFonts w:ascii="Calibri" w:cs="Calibri" w:eastAsia="Calibri" w:hAnsi="Calibri"/>
                <w:b/>
                <w:bCs/>
                <w:color w:val="FFFFFF"/>
                <w:sz w:val="20"/>
                <w:szCs w:val="20"/>
              </w:rPr>
              <w:t xml:space="preserve">Say this</w:t>
            </w:r>
          </w:p>
        </w:tc>
        <w:tc>
          <w:tcPr>
            <w:tcW w:type="dxa" w:w="4680"/>
            <w:tcBorders>
              <w:top w:val="single" w:color="CBD5E1" w:sz="4"/>
              <w:left w:val="single" w:color="CBD5E1" w:sz="4"/>
              <w:bottom w:val="single" w:color="CBD5E1" w:sz="4"/>
              <w:right w:val="single" w:color="CBD5E1" w:sz="4"/>
            </w:tcBorders>
            <w:shd w:fill="0B1F4D" w:val="clear"/>
            <w:tcMar>
              <w:top w:type="dxa" w:w="140"/>
              <w:left w:type="dxa" w:w="180"/>
              <w:bottom w:type="dxa" w:w="140"/>
              <w:right w:type="dxa" w:w="180"/>
            </w:tcMar>
            <w:vAlign w:val="center"/>
          </w:tcPr>
          <w:p>
            <w:pPr>
              <w:spacing w:after="20" w:before="20"/>
              <w:jc w:val="left"/>
            </w:pPr>
            <w:r>
              <w:rPr>
                <w:rFonts w:ascii="Calibri" w:cs="Calibri" w:eastAsia="Calibri" w:hAnsi="Calibri"/>
                <w:b/>
                <w:bCs/>
                <w:color w:val="FFFFFF"/>
                <w:sz w:val="20"/>
                <w:szCs w:val="20"/>
              </w:rPr>
              <w:t xml:space="preserve">Not this</w:t>
            </w:r>
          </w:p>
        </w:tc>
      </w:tr>
      <w:tr>
        <w:tc>
          <w:tcPr>
            <w:tcW w:type="dxa" w:w="4680"/>
            <w:tcBorders>
              <w:top w:val="single" w:color="CBD5E1" w:sz="4"/>
              <w:left w:val="single" w:color="CBD5E1" w:sz="4"/>
              <w:bottom w:val="single" w:color="CBD5E1" w:sz="4"/>
              <w:right w:val="single" w:color="CBD5E1" w:sz="4"/>
            </w:tcBorders>
            <w:tcMar>
              <w:top w:type="dxa" w:w="140"/>
              <w:left w:type="dxa" w:w="180"/>
              <w:bottom w:type="dxa" w:w="140"/>
              <w:right w:type="dxa" w:w="180"/>
            </w:tcMar>
            <w:vAlign w:val="center"/>
          </w:tcPr>
          <w:p>
            <w:pPr>
              <w:spacing w:after="20" w:before="20"/>
              <w:jc w:val="left"/>
            </w:pPr>
            <w:r>
              <w:rPr>
                <w:rFonts w:ascii="Calibri" w:cs="Calibri" w:eastAsia="Calibri" w:hAnsi="Calibri"/>
                <w:b w:val="false"/>
                <w:bCs w:val="false"/>
                <w:color w:val="1F2937"/>
                <w:sz w:val="20"/>
                <w:szCs w:val="20"/>
              </w:rPr>
              <w:t xml:space="preserve">Programme, course</w:t>
            </w:r>
          </w:p>
        </w:tc>
        <w:tc>
          <w:tcPr>
            <w:tcW w:type="dxa" w:w="4680"/>
            <w:tcBorders>
              <w:top w:val="single" w:color="CBD5E1" w:sz="4"/>
              <w:left w:val="single" w:color="CBD5E1" w:sz="4"/>
              <w:bottom w:val="single" w:color="CBD5E1" w:sz="4"/>
              <w:right w:val="single" w:color="CBD5E1" w:sz="4"/>
            </w:tcBorders>
            <w:tcMar>
              <w:top w:type="dxa" w:w="140"/>
              <w:left w:type="dxa" w:w="180"/>
              <w:bottom w:type="dxa" w:w="140"/>
              <w:right w:type="dxa" w:w="180"/>
            </w:tcMar>
            <w:vAlign w:val="center"/>
          </w:tcPr>
          <w:p>
            <w:pPr>
              <w:spacing w:after="20" w:before="20"/>
              <w:jc w:val="left"/>
            </w:pPr>
            <w:r>
              <w:rPr>
                <w:rFonts w:ascii="Calibri" w:cs="Calibri" w:eastAsia="Calibri" w:hAnsi="Calibri"/>
                <w:b w:val="false"/>
                <w:bCs w:val="false"/>
                <w:color w:val="475569"/>
                <w:sz w:val="20"/>
                <w:szCs w:val="20"/>
              </w:rPr>
              <w:t xml:space="preserve">Cutting-edge curriculum</w:t>
            </w:r>
          </w:p>
        </w:tc>
      </w:tr>
      <w:tr>
        <w:tc>
          <w:tcPr>
            <w:tcW w:type="dxa" w:w="4680"/>
            <w:tcBorders>
              <w:top w:val="single" w:color="CBD5E1" w:sz="4"/>
              <w:left w:val="single" w:color="CBD5E1" w:sz="4"/>
              <w:bottom w:val="single" w:color="CBD5E1" w:sz="4"/>
              <w:right w:val="single" w:color="CBD5E1" w:sz="4"/>
            </w:tcBorders>
            <w:tcMar>
              <w:top w:type="dxa" w:w="140"/>
              <w:left w:type="dxa" w:w="180"/>
              <w:bottom w:type="dxa" w:w="140"/>
              <w:right w:type="dxa" w:w="180"/>
            </w:tcMar>
            <w:vAlign w:val="center"/>
          </w:tcPr>
          <w:p>
            <w:pPr>
              <w:spacing w:after="20" w:before="20"/>
              <w:jc w:val="left"/>
            </w:pPr>
            <w:r>
              <w:rPr>
                <w:rFonts w:ascii="Calibri" w:cs="Calibri" w:eastAsia="Calibri" w:hAnsi="Calibri"/>
                <w:b w:val="false"/>
                <w:bCs w:val="false"/>
                <w:color w:val="1F2937"/>
                <w:sz w:val="20"/>
                <w:szCs w:val="20"/>
              </w:rPr>
              <w:t xml:space="preserve">Working professionals</w:t>
            </w:r>
          </w:p>
        </w:tc>
        <w:tc>
          <w:tcPr>
            <w:tcW w:type="dxa" w:w="4680"/>
            <w:tcBorders>
              <w:top w:val="single" w:color="CBD5E1" w:sz="4"/>
              <w:left w:val="single" w:color="CBD5E1" w:sz="4"/>
              <w:bottom w:val="single" w:color="CBD5E1" w:sz="4"/>
              <w:right w:val="single" w:color="CBD5E1" w:sz="4"/>
            </w:tcBorders>
            <w:tcMar>
              <w:top w:type="dxa" w:w="140"/>
              <w:left w:type="dxa" w:w="180"/>
              <w:bottom w:type="dxa" w:w="140"/>
              <w:right w:type="dxa" w:w="180"/>
            </w:tcMar>
            <w:vAlign w:val="center"/>
          </w:tcPr>
          <w:p>
            <w:pPr>
              <w:spacing w:after="20" w:before="20"/>
              <w:jc w:val="left"/>
            </w:pPr>
            <w:r>
              <w:rPr>
                <w:rFonts w:ascii="Calibri" w:cs="Calibri" w:eastAsia="Calibri" w:hAnsi="Calibri"/>
                <w:b w:val="false"/>
                <w:bCs w:val="false"/>
                <w:color w:val="475569"/>
                <w:sz w:val="20"/>
                <w:szCs w:val="20"/>
              </w:rPr>
              <w:t xml:space="preserve">Aspirants, candidates</w:t>
            </w:r>
          </w:p>
        </w:tc>
      </w:tr>
      <w:tr>
        <w:tc>
          <w:tcPr>
            <w:tcW w:type="dxa" w:w="4680"/>
            <w:tcBorders>
              <w:top w:val="single" w:color="CBD5E1" w:sz="4"/>
              <w:left w:val="single" w:color="CBD5E1" w:sz="4"/>
              <w:bottom w:val="single" w:color="CBD5E1" w:sz="4"/>
              <w:right w:val="single" w:color="CBD5E1" w:sz="4"/>
            </w:tcBorders>
            <w:tcMar>
              <w:top w:type="dxa" w:w="140"/>
              <w:left w:type="dxa" w:w="180"/>
              <w:bottom w:type="dxa" w:w="140"/>
              <w:right w:type="dxa" w:w="180"/>
            </w:tcMar>
            <w:vAlign w:val="center"/>
          </w:tcPr>
          <w:p>
            <w:pPr>
              <w:spacing w:after="20" w:before="20"/>
              <w:jc w:val="left"/>
            </w:pPr>
            <w:r>
              <w:rPr>
                <w:rFonts w:ascii="Calibri" w:cs="Calibri" w:eastAsia="Calibri" w:hAnsi="Calibri"/>
                <w:b w:val="false"/>
                <w:bCs w:val="false"/>
                <w:color w:val="1F2937"/>
                <w:sz w:val="20"/>
                <w:szCs w:val="20"/>
              </w:rPr>
              <w:t xml:space="preserve">Free counselling, honest advice</w:t>
            </w:r>
          </w:p>
        </w:tc>
        <w:tc>
          <w:tcPr>
            <w:tcW w:type="dxa" w:w="4680"/>
            <w:tcBorders>
              <w:top w:val="single" w:color="CBD5E1" w:sz="4"/>
              <w:left w:val="single" w:color="CBD5E1" w:sz="4"/>
              <w:bottom w:val="single" w:color="CBD5E1" w:sz="4"/>
              <w:right w:val="single" w:color="CBD5E1" w:sz="4"/>
            </w:tcBorders>
            <w:tcMar>
              <w:top w:type="dxa" w:w="140"/>
              <w:left w:type="dxa" w:w="180"/>
              <w:bottom w:type="dxa" w:w="140"/>
              <w:right w:type="dxa" w:w="180"/>
            </w:tcMar>
            <w:vAlign w:val="center"/>
          </w:tcPr>
          <w:p>
            <w:pPr>
              <w:spacing w:after="20" w:before="20"/>
              <w:jc w:val="left"/>
            </w:pPr>
            <w:r>
              <w:rPr>
                <w:rFonts w:ascii="Calibri" w:cs="Calibri" w:eastAsia="Calibri" w:hAnsi="Calibri"/>
                <w:b w:val="false"/>
                <w:bCs w:val="false"/>
                <w:color w:val="475569"/>
                <w:sz w:val="20"/>
                <w:szCs w:val="20"/>
              </w:rPr>
              <w:t xml:space="preserve">Hassle-free, one-stop solution</w:t>
            </w:r>
          </w:p>
        </w:tc>
      </w:tr>
      <w:tr>
        <w:tc>
          <w:tcPr>
            <w:tcW w:type="dxa" w:w="4680"/>
            <w:tcBorders>
              <w:top w:val="single" w:color="CBD5E1" w:sz="4"/>
              <w:left w:val="single" w:color="CBD5E1" w:sz="4"/>
              <w:bottom w:val="single" w:color="CBD5E1" w:sz="4"/>
              <w:right w:val="single" w:color="CBD5E1" w:sz="4"/>
            </w:tcBorders>
            <w:tcMar>
              <w:top w:type="dxa" w:w="140"/>
              <w:left w:type="dxa" w:w="180"/>
              <w:bottom w:type="dxa" w:w="140"/>
              <w:right w:type="dxa" w:w="180"/>
            </w:tcMar>
            <w:vAlign w:val="center"/>
          </w:tcPr>
          <w:p>
            <w:pPr>
              <w:spacing w:after="20" w:before="20"/>
              <w:jc w:val="left"/>
            </w:pPr>
            <w:r>
              <w:rPr>
                <w:rFonts w:ascii="Calibri" w:cs="Calibri" w:eastAsia="Calibri" w:hAnsi="Calibri"/>
                <w:b w:val="false"/>
                <w:bCs w:val="false"/>
                <w:color w:val="1F2937"/>
                <w:sz w:val="20"/>
                <w:szCs w:val="20"/>
              </w:rPr>
              <w:t xml:space="preserve">UGC-DEB recognised, AICTE approved</w:t>
            </w:r>
          </w:p>
        </w:tc>
        <w:tc>
          <w:tcPr>
            <w:tcW w:type="dxa" w:w="4680"/>
            <w:tcBorders>
              <w:top w:val="single" w:color="CBD5E1" w:sz="4"/>
              <w:left w:val="single" w:color="CBD5E1" w:sz="4"/>
              <w:bottom w:val="single" w:color="CBD5E1" w:sz="4"/>
              <w:right w:val="single" w:color="CBD5E1" w:sz="4"/>
            </w:tcBorders>
            <w:tcMar>
              <w:top w:type="dxa" w:w="140"/>
              <w:left w:type="dxa" w:w="180"/>
              <w:bottom w:type="dxa" w:w="140"/>
              <w:right w:type="dxa" w:w="180"/>
            </w:tcMar>
            <w:vAlign w:val="center"/>
          </w:tcPr>
          <w:p>
            <w:pPr>
              <w:spacing w:after="20" w:before="20"/>
              <w:jc w:val="left"/>
            </w:pPr>
            <w:r>
              <w:rPr>
                <w:rFonts w:ascii="Calibri" w:cs="Calibri" w:eastAsia="Calibri" w:hAnsi="Calibri"/>
                <w:b w:val="false"/>
                <w:bCs w:val="false"/>
                <w:color w:val="475569"/>
                <w:sz w:val="20"/>
                <w:szCs w:val="20"/>
              </w:rPr>
              <w:t xml:space="preserve">Best, top-rated, premier (without proof)</w:t>
            </w:r>
          </w:p>
        </w:tc>
      </w:tr>
      <w:tr>
        <w:tc>
          <w:tcPr>
            <w:tcW w:type="dxa" w:w="4680"/>
            <w:tcBorders>
              <w:top w:val="single" w:color="CBD5E1" w:sz="4"/>
              <w:left w:val="single" w:color="CBD5E1" w:sz="4"/>
              <w:bottom w:val="single" w:color="CBD5E1" w:sz="4"/>
              <w:right w:val="single" w:color="CBD5E1" w:sz="4"/>
            </w:tcBorders>
            <w:tcMar>
              <w:top w:type="dxa" w:w="140"/>
              <w:left w:type="dxa" w:w="180"/>
              <w:bottom w:type="dxa" w:w="140"/>
              <w:right w:type="dxa" w:w="180"/>
            </w:tcMar>
            <w:vAlign w:val="center"/>
          </w:tcPr>
          <w:p>
            <w:pPr>
              <w:spacing w:after="20" w:before="20"/>
              <w:jc w:val="left"/>
            </w:pPr>
            <w:r>
              <w:rPr>
                <w:rFonts w:ascii="Calibri" w:cs="Calibri" w:eastAsia="Calibri" w:hAnsi="Calibri"/>
                <w:b w:val="false"/>
                <w:bCs w:val="false"/>
                <w:color w:val="1F2937"/>
                <w:sz w:val="20"/>
                <w:szCs w:val="20"/>
              </w:rPr>
              <w:t xml:space="preserve">Right fit for your career</w:t>
            </w:r>
          </w:p>
        </w:tc>
        <w:tc>
          <w:tcPr>
            <w:tcW w:type="dxa" w:w="4680"/>
            <w:tcBorders>
              <w:top w:val="single" w:color="CBD5E1" w:sz="4"/>
              <w:left w:val="single" w:color="CBD5E1" w:sz="4"/>
              <w:bottom w:val="single" w:color="CBD5E1" w:sz="4"/>
              <w:right w:val="single" w:color="CBD5E1" w:sz="4"/>
            </w:tcBorders>
            <w:tcMar>
              <w:top w:type="dxa" w:w="140"/>
              <w:left w:type="dxa" w:w="180"/>
              <w:bottom w:type="dxa" w:w="140"/>
              <w:right w:type="dxa" w:w="180"/>
            </w:tcMar>
            <w:vAlign w:val="center"/>
          </w:tcPr>
          <w:p>
            <w:pPr>
              <w:spacing w:after="20" w:before="20"/>
              <w:jc w:val="left"/>
            </w:pPr>
            <w:r>
              <w:rPr>
                <w:rFonts w:ascii="Calibri" w:cs="Calibri" w:eastAsia="Calibri" w:hAnsi="Calibri"/>
                <w:b w:val="false"/>
                <w:bCs w:val="false"/>
                <w:color w:val="475569"/>
                <w:sz w:val="20"/>
                <w:szCs w:val="20"/>
              </w:rPr>
              <w:t xml:space="preserve">Life-changing opportunity</w:t>
            </w:r>
          </w:p>
        </w:tc>
      </w:tr>
      <w:tr>
        <w:tc>
          <w:tcPr>
            <w:tcW w:type="dxa" w:w="4680"/>
            <w:tcBorders>
              <w:top w:val="single" w:color="CBD5E1" w:sz="4"/>
              <w:left w:val="single" w:color="CBD5E1" w:sz="4"/>
              <w:bottom w:val="single" w:color="CBD5E1" w:sz="4"/>
              <w:right w:val="single" w:color="CBD5E1" w:sz="4"/>
            </w:tcBorders>
            <w:tcMar>
              <w:top w:type="dxa" w:w="140"/>
              <w:left w:type="dxa" w:w="180"/>
              <w:bottom w:type="dxa" w:w="140"/>
              <w:right w:type="dxa" w:w="180"/>
            </w:tcMar>
            <w:vAlign w:val="center"/>
          </w:tcPr>
          <w:p>
            <w:pPr>
              <w:spacing w:after="20" w:before="20"/>
              <w:jc w:val="left"/>
            </w:pPr>
            <w:r>
              <w:rPr>
                <w:rFonts w:ascii="Calibri" w:cs="Calibri" w:eastAsia="Calibri" w:hAnsi="Calibri"/>
                <w:b w:val="false"/>
                <w:bCs w:val="false"/>
                <w:color w:val="1F2937"/>
                <w:sz w:val="20"/>
                <w:szCs w:val="20"/>
              </w:rPr>
              <w:t xml:space="preserve">Speak to a counsellor</w:t>
            </w:r>
          </w:p>
        </w:tc>
        <w:tc>
          <w:tcPr>
            <w:tcW w:type="dxa" w:w="4680"/>
            <w:tcBorders>
              <w:top w:val="single" w:color="CBD5E1" w:sz="4"/>
              <w:left w:val="single" w:color="CBD5E1" w:sz="4"/>
              <w:bottom w:val="single" w:color="CBD5E1" w:sz="4"/>
              <w:right w:val="single" w:color="CBD5E1" w:sz="4"/>
            </w:tcBorders>
            <w:tcMar>
              <w:top w:type="dxa" w:w="140"/>
              <w:left w:type="dxa" w:w="180"/>
              <w:bottom w:type="dxa" w:w="140"/>
              <w:right w:type="dxa" w:w="180"/>
            </w:tcMar>
            <w:vAlign w:val="center"/>
          </w:tcPr>
          <w:p>
            <w:pPr>
              <w:spacing w:after="20" w:before="20"/>
              <w:jc w:val="left"/>
            </w:pPr>
            <w:r>
              <w:rPr>
                <w:rFonts w:ascii="Calibri" w:cs="Calibri" w:eastAsia="Calibri" w:hAnsi="Calibri"/>
                <w:b w:val="false"/>
                <w:bCs w:val="false"/>
                <w:color w:val="475569"/>
                <w:sz w:val="20"/>
                <w:szCs w:val="20"/>
              </w:rPr>
              <w:t xml:space="preserve">Get a callback now, hurry</w:t>
            </w:r>
          </w:p>
        </w:tc>
      </w:tr>
    </w:tbl>
    <w:p>
      <w:pPr>
        <w:pStyle w:val="Heading1"/>
        <w:pageBreakBefore/>
        <w:spacing w:after="200" w:before="360"/>
      </w:pPr>
      <w:r>
        <w:rPr>
          <w:rFonts w:ascii="Calibri" w:cs="Calibri" w:eastAsia="Calibri" w:hAnsi="Calibri"/>
          <w:b/>
          <w:bCs/>
          <w:color w:val="0B1F4D"/>
          <w:sz w:val="44"/>
          <w:szCs w:val="44"/>
        </w:rPr>
        <w:t xml:space="preserve">05  Logo System</w:t>
      </w:r>
    </w:p>
    <w:p>
      <w:pPr>
        <w:spacing w:after="80" w:before="80" w:line="300"/>
        <w:jc w:val="left"/>
      </w:pPr>
      <w:r>
        <w:rPr>
          <w:rFonts w:ascii="Calibri" w:cs="Calibri" w:eastAsia="Calibri" w:hAnsi="Calibri"/>
          <w:b w:val="false"/>
          <w:bCs w:val="false"/>
          <w:i w:val="false"/>
          <w:iCs w:val="false"/>
          <w:color w:val="1F2937"/>
          <w:sz w:val="22"/>
          <w:szCs w:val="22"/>
        </w:rPr>
        <w:t xml:space="preserve">The Distance MBA College logo evolves the original house+arc icon you have used since launch, with three deliberate refinements: cleaner geometric construction, exact brand-tuned colours, and Poppins typography. “MBA” is now the hero word in saffron, with “Distance” and “College” in navy framing it. This single change preserves the recognition equity of your existing identity while making the wordmark read as a serious advisory brand instead of a generic listing site.</w:t>
      </w:r>
    </w:p>
    <w:p>
      <w:pPr>
        <w:pStyle w:val="Heading2"/>
        <w:pBdr>
          <w:bottom w:val="single" w:color="E8930E" w:sz="6" w:space="4"/>
        </w:pBdr>
        <w:spacing w:after="140" w:before="280"/>
      </w:pPr>
      <w:r>
        <w:rPr>
          <w:rFonts w:ascii="Calibri" w:cs="Calibri" w:eastAsia="Calibri" w:hAnsi="Calibri"/>
          <w:b/>
          <w:bCs/>
          <w:color w:val="0B1F4D"/>
          <w:sz w:val="30"/>
          <w:szCs w:val="30"/>
        </w:rPr>
        <w:t xml:space="preserve">Primary logo</w:t>
      </w:r>
    </w:p>
    <w:p>
      <w:pPr>
        <w:spacing w:after="80" w:before="80" w:line="300"/>
        <w:jc w:val="left"/>
      </w:pPr>
      <w:r>
        <w:rPr>
          <w:rFonts w:ascii="Calibri" w:cs="Calibri" w:eastAsia="Calibri" w:hAnsi="Calibri"/>
          <w:b w:val="false"/>
          <w:bCs w:val="false"/>
          <w:i w:val="false"/>
          <w:iCs w:val="false"/>
          <w:color w:val="1F2937"/>
          <w:sz w:val="22"/>
          <w:szCs w:val="22"/>
        </w:rPr>
        <w:t xml:space="preserve">The full lockup. This is the default mark. Use it wherever space allows.</w:t>
      </w:r>
    </w:p>
    <w:p>
      <w:pPr>
        <w:spacing w:after="120" w:before="120"/>
        <w:jc w:val="center"/>
      </w:pPr>
      <w:r>
        <w:drawing>
          <wp:inline distT="0" distB="0" distL="0" distR="0">
            <wp:extent cx="5143500" cy="1047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43500" cy="1047750"/>
                    </a:xfrm>
                    <a:prstGeom prst="rect">
                      <a:avLst/>
                    </a:prstGeom>
                  </pic:spPr>
                </pic:pic>
              </a:graphicData>
            </a:graphic>
          </wp:inline>
        </w:drawing>
      </w:r>
    </w:p>
    <w:p>
      <w:pPr>
        <w:pStyle w:val="Heading2"/>
        <w:pBdr>
          <w:bottom w:val="single" w:color="E8930E" w:sz="6" w:space="4"/>
        </w:pBdr>
        <w:spacing w:after="140" w:before="280"/>
      </w:pPr>
      <w:r>
        <w:rPr>
          <w:rFonts w:ascii="Calibri" w:cs="Calibri" w:eastAsia="Calibri" w:hAnsi="Calibri"/>
          <w:b/>
          <w:bCs/>
          <w:color w:val="0B1F4D"/>
          <w:sz w:val="30"/>
          <w:szCs w:val="30"/>
        </w:rPr>
        <w:t xml:space="preserve">Construction logic</w:t>
      </w:r>
    </w:p>
    <w:p>
      <w:pPr>
        <w:pStyle w:val="ListParagraph"/>
        <w:numPr>
          <w:ilvl w:val="0"/>
          <w:numId w:val="2"/>
        </w:numPr>
        <w:spacing w:after="40" w:before="40" w:line="300"/>
      </w:pPr>
      <w:r>
        <w:rPr>
          <w:rFonts w:ascii="Calibri" w:cs="Calibri" w:eastAsia="Calibri" w:hAnsi="Calibri"/>
          <w:b/>
          <w:bCs/>
          <w:color w:val="0B1F4D"/>
          <w:sz w:val="22"/>
          <w:szCs w:val="22"/>
        </w:rPr>
        <w:t xml:space="preserve">The icon. </w:t>
      </w:r>
      <w:r>
        <w:rPr>
          <w:rFonts w:ascii="Calibri" w:cs="Calibri" w:eastAsia="Calibri" w:hAnsi="Calibri"/>
          <w:color w:val="1F2937"/>
          <w:sz w:val="22"/>
          <w:szCs w:val="22"/>
        </w:rPr>
        <w:t xml:space="preserve">The house silhouette signals home, the natural setting of distance learning. Open at the base for accessibility. The saffron arc beneath reads as both foundation and forward path.</w:t>
      </w:r>
    </w:p>
    <w:p>
      <w:pPr>
        <w:pStyle w:val="ListParagraph"/>
        <w:numPr>
          <w:ilvl w:val="0"/>
          <w:numId w:val="2"/>
        </w:numPr>
        <w:spacing w:after="40" w:before="40" w:line="300"/>
      </w:pPr>
      <w:r>
        <w:rPr>
          <w:rFonts w:ascii="Calibri" w:cs="Calibri" w:eastAsia="Calibri" w:hAnsi="Calibri"/>
          <w:b/>
          <w:bCs/>
          <w:color w:val="0B1F4D"/>
          <w:sz w:val="22"/>
          <w:szCs w:val="22"/>
        </w:rPr>
        <w:t xml:space="preserve">The wordmark. </w:t>
      </w:r>
      <w:r>
        <w:rPr>
          <w:rFonts w:ascii="Calibri" w:cs="Calibri" w:eastAsia="Calibri" w:hAnsi="Calibri"/>
          <w:color w:val="1F2937"/>
          <w:sz w:val="22"/>
          <w:szCs w:val="22"/>
        </w:rPr>
        <w:t xml:space="preserve">Poppins Medium for “Distance” and “College”, Poppins Bold for “MBA.” Letter-spacing pulled in slightly for confidence.</w:t>
      </w:r>
    </w:p>
    <w:p>
      <w:pPr>
        <w:pStyle w:val="ListParagraph"/>
        <w:numPr>
          <w:ilvl w:val="0"/>
          <w:numId w:val="2"/>
        </w:numPr>
        <w:spacing w:after="40" w:before="40" w:line="300"/>
      </w:pPr>
      <w:r>
        <w:rPr>
          <w:rFonts w:ascii="Calibri" w:cs="Calibri" w:eastAsia="Calibri" w:hAnsi="Calibri"/>
          <w:b/>
          <w:bCs/>
          <w:color w:val="0B1F4D"/>
          <w:sz w:val="22"/>
          <w:szCs w:val="22"/>
        </w:rPr>
        <w:t xml:space="preserve">Colour split. </w:t>
      </w:r>
      <w:r>
        <w:rPr>
          <w:rFonts w:ascii="Calibri" w:cs="Calibri" w:eastAsia="Calibri" w:hAnsi="Calibri"/>
          <w:color w:val="1F2937"/>
          <w:sz w:val="22"/>
          <w:szCs w:val="22"/>
        </w:rPr>
        <w:t xml:space="preserve">Navy for the framing words and the house outline. Saffron for the arc and the hero word “MBA.” Two notes of warmth, three notes of authority. Restrained, deliberate, and instantly recognisable.</w:t>
      </w:r>
    </w:p>
    <w:p>
      <w:pPr>
        <w:pStyle w:val="Heading2"/>
        <w:pBdr>
          <w:bottom w:val="single" w:color="E8930E" w:sz="6" w:space="4"/>
        </w:pBdr>
        <w:spacing w:after="140" w:before="280"/>
      </w:pPr>
      <w:r>
        <w:rPr>
          <w:rFonts w:ascii="Calibri" w:cs="Calibri" w:eastAsia="Calibri" w:hAnsi="Calibri"/>
          <w:b/>
          <w:bCs/>
          <w:color w:val="0B1F4D"/>
          <w:sz w:val="30"/>
          <w:szCs w:val="30"/>
        </w:rPr>
        <w:t xml:space="preserve">Variants</w:t>
      </w:r>
    </w:p>
    <w:p>
      <w:pPr>
        <w:spacing w:after="80" w:before="80" w:line="300"/>
        <w:jc w:val="left"/>
      </w:pPr>
      <w:r>
        <w:rPr>
          <w:rFonts w:ascii="Calibri" w:cs="Calibri" w:eastAsia="Calibri" w:hAnsi="Calibri"/>
          <w:b w:val="false"/>
          <w:bCs w:val="false"/>
          <w:i w:val="false"/>
          <w:iCs w:val="false"/>
          <w:color w:val="1F2937"/>
          <w:sz w:val="22"/>
          <w:szCs w:val="22"/>
        </w:rPr>
        <w:t xml:space="preserve">The system includes five primary variants for different contexts and surfaces.</w:t>
      </w:r>
    </w:p>
    <w:p>
      <w:pPr>
        <w:pStyle w:val="Heading3"/>
        <w:spacing w:after="100" w:before="220"/>
      </w:pPr>
      <w:r>
        <w:rPr>
          <w:rFonts w:ascii="Calibri" w:cs="Calibri" w:eastAsia="Calibri" w:hAnsi="Calibri"/>
          <w:b/>
          <w:bCs/>
          <w:color w:val="1E3A8A"/>
          <w:sz w:val="24"/>
          <w:szCs w:val="24"/>
        </w:rPr>
        <w:t xml:space="preserve">Reverse — for use on Navy</w:t>
      </w:r>
    </w:p>
    <w:p>
      <w:pPr>
        <w:spacing w:after="120" w:before="120"/>
        <w:jc w:val="center"/>
      </w:pPr>
      <w:r>
        <w:drawing>
          <wp:inline distT="0" distB="0" distL="0" distR="0">
            <wp:extent cx="5143500" cy="1047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143500" cy="1047750"/>
                    </a:xfrm>
                    <a:prstGeom prst="rect">
                      <a:avLst/>
                    </a:prstGeom>
                  </pic:spPr>
                </pic:pic>
              </a:graphicData>
            </a:graphic>
          </wp:inline>
        </w:drawing>
      </w:r>
    </w:p>
    <w:p>
      <w:pPr>
        <w:spacing w:after="80" w:before="80" w:line="300"/>
        <w:jc w:val="left"/>
      </w:pPr>
      <w:r>
        <w:rPr>
          <w:rFonts w:ascii="Calibri" w:cs="Calibri" w:eastAsia="Calibri" w:hAnsi="Calibri"/>
          <w:b w:val="false"/>
          <w:bCs w:val="false"/>
          <w:i w:val="false"/>
          <w:iCs w:val="false"/>
          <w:color w:val="475569"/>
          <w:sz w:val="20"/>
          <w:szCs w:val="20"/>
        </w:rPr>
        <w:t xml:space="preserve">When the surface is Navy or a dark photograph, the icon and framing words become white, the saffron accents remain. This is the second-most common context after the primary, and the only variant approved for dark surfaces.</w:t>
      </w:r>
    </w:p>
    <w:p>
      <w:pPr>
        <w:pStyle w:val="Heading3"/>
        <w:spacing w:after="100" w:before="220"/>
      </w:pPr>
      <w:r>
        <w:rPr>
          <w:rFonts w:ascii="Calibri" w:cs="Calibri" w:eastAsia="Calibri" w:hAnsi="Calibri"/>
          <w:b/>
          <w:bCs/>
          <w:color w:val="1E3A8A"/>
          <w:sz w:val="24"/>
          <w:szCs w:val="24"/>
        </w:rPr>
        <w:t xml:space="preserve">Monochrome — single-colour reproduction</w:t>
      </w:r>
    </w:p>
    <w:p>
      <w:pPr>
        <w:spacing w:after="120" w:before="120"/>
        <w:jc w:val="center"/>
      </w:pPr>
      <w:r>
        <w:drawing>
          <wp:inline distT="0" distB="0" distL="0" distR="0">
            <wp:extent cx="5143500" cy="1047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143500" cy="1047750"/>
                    </a:xfrm>
                    <a:prstGeom prst="rect">
                      <a:avLst/>
                    </a:prstGeom>
                  </pic:spPr>
                </pic:pic>
              </a:graphicData>
            </a:graphic>
          </wp:inline>
        </w:drawing>
      </w:r>
    </w:p>
    <w:p>
      <w:pPr>
        <w:spacing w:after="80" w:before="80" w:line="300"/>
        <w:jc w:val="left"/>
      </w:pPr>
      <w:r>
        <w:rPr>
          <w:rFonts w:ascii="Calibri" w:cs="Calibri" w:eastAsia="Calibri" w:hAnsi="Calibri"/>
          <w:b w:val="false"/>
          <w:bCs w:val="false"/>
          <w:i w:val="false"/>
          <w:iCs w:val="false"/>
          <w:color w:val="475569"/>
          <w:sz w:val="20"/>
          <w:szCs w:val="20"/>
        </w:rPr>
        <w:t xml:space="preserve">For embossing, single-colour printing, fax, photocopying, and any context where the saffron cannot be reproduced. All elements collapse to Navy.</w:t>
      </w:r>
    </w:p>
    <w:p>
      <w:pPr>
        <w:pStyle w:val="Heading3"/>
        <w:spacing w:after="100" w:before="220"/>
      </w:pPr>
      <w:r>
        <w:rPr>
          <w:rFonts w:ascii="Calibri" w:cs="Calibri" w:eastAsia="Calibri" w:hAnsi="Calibri"/>
          <w:b/>
          <w:bCs/>
          <w:color w:val="1E3A8A"/>
          <w:sz w:val="24"/>
          <w:szCs w:val="24"/>
        </w:rPr>
        <w:t xml:space="preserve">Stacked — for narrow horizontal spaces</w:t>
      </w:r>
    </w:p>
    <w:p>
      <w:pPr>
        <w:spacing w:after="120" w:before="120"/>
        <w:jc w:val="center"/>
      </w:pPr>
      <w:r>
        <w:drawing>
          <wp:inline distT="0" distB="0" distL="0" distR="0">
            <wp:extent cx="3048000" cy="1333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048000" cy="1333500"/>
                    </a:xfrm>
                    <a:prstGeom prst="rect">
                      <a:avLst/>
                    </a:prstGeom>
                  </pic:spPr>
                </pic:pic>
              </a:graphicData>
            </a:graphic>
          </wp:inline>
        </w:drawing>
      </w:r>
    </w:p>
    <w:p>
      <w:pPr>
        <w:spacing w:after="80" w:before="80" w:line="300"/>
        <w:jc w:val="left"/>
      </w:pPr>
      <w:r>
        <w:rPr>
          <w:rFonts w:ascii="Calibri" w:cs="Calibri" w:eastAsia="Calibri" w:hAnsi="Calibri"/>
          <w:b w:val="false"/>
          <w:bCs w:val="false"/>
          <w:i w:val="false"/>
          <w:iCs w:val="false"/>
          <w:color w:val="475569"/>
          <w:sz w:val="20"/>
          <w:szCs w:val="20"/>
        </w:rPr>
        <w:t xml:space="preserve">When width is constrained but height is available, such as banner ads, vertical print formats, or partnership lockups. Icon centred above the full wordmark.</w:t>
      </w:r>
    </w:p>
    <w:p>
      <w:pPr>
        <w:pStyle w:val="Heading3"/>
        <w:spacing w:after="100" w:before="220"/>
      </w:pPr>
      <w:r>
        <w:rPr>
          <w:rFonts w:ascii="Calibri" w:cs="Calibri" w:eastAsia="Calibri" w:hAnsi="Calibri"/>
          <w:b/>
          <w:bCs/>
          <w:color w:val="1E3A8A"/>
          <w:sz w:val="24"/>
          <w:szCs w:val="24"/>
        </w:rPr>
        <w:t xml:space="preserve">Icon only — favicon, watermark, social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BD5E1" w:sz="4"/>
              <w:left w:val="single" w:color="CBD5E1" w:sz="4"/>
              <w:bottom w:val="single" w:color="CBD5E1" w:sz="4"/>
              <w:right w:val="single" w:color="CBD5E1" w:sz="4"/>
            </w:tcBorders>
            <w:shd w:fill="FFFFFF" w:val="clear"/>
            <w:tcMar>
              <w:top w:type="dxa" w:w="240"/>
              <w:left w:type="dxa" w:w="180"/>
              <w:bottom w:type="dxa" w:w="240"/>
              <w:right w:type="dxa" w:w="180"/>
            </w:tcMar>
          </w:tcPr>
          <w:p>
            <w:pPr>
              <w:jc w:val="center"/>
            </w:pPr>
            <w:r>
              <w:drawing>
                <wp:inline distT="0" distB="0" distL="0" distR="0">
                  <wp:extent cx="1238250" cy="1238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1238250" cy="1238250"/>
                          </a:xfrm>
                          <a:prstGeom prst="rect">
                            <a:avLst/>
                          </a:prstGeom>
                        </pic:spPr>
                      </pic:pic>
                    </a:graphicData>
                  </a:graphic>
                </wp:inline>
              </w:drawing>
            </w:r>
          </w:p>
        </w:tc>
        <w:tc>
          <w:tcPr>
            <w:tcW w:type="dxa" w:w="4680"/>
            <w:tcBorders>
              <w:top w:val="single" w:color="CBD5E1" w:sz="4"/>
              <w:left w:val="single" w:color="CBD5E1" w:sz="4"/>
              <w:bottom w:val="single" w:color="CBD5E1" w:sz="4"/>
              <w:right w:val="single" w:color="CBD5E1" w:sz="4"/>
            </w:tcBorders>
            <w:shd w:fill="0B1F4D" w:val="clear"/>
            <w:tcMar>
              <w:top w:type="dxa" w:w="240"/>
              <w:left w:type="dxa" w:w="180"/>
              <w:bottom w:type="dxa" w:w="240"/>
              <w:right w:type="dxa" w:w="180"/>
            </w:tcMar>
          </w:tcPr>
          <w:p>
            <w:pPr>
              <w:jc w:val="center"/>
            </w:pPr>
            <w:r>
              <w:drawing>
                <wp:inline distT="0" distB="0" distL="0" distR="0">
                  <wp:extent cx="1238250" cy="1238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1238250" cy="1238250"/>
                          </a:xfrm>
                          <a:prstGeom prst="rect">
                            <a:avLst/>
                          </a:prstGeom>
                        </pic:spPr>
                      </pic:pic>
                    </a:graphicData>
                  </a:graphic>
                </wp:inline>
              </w:drawing>
            </w:r>
          </w:p>
        </w:tc>
      </w:tr>
    </w:tbl>
    <w:p>
      <w:pPr>
        <w:spacing w:after="80" w:before="80" w:line="300"/>
        <w:jc w:val="left"/>
      </w:pPr>
      <w:r>
        <w:rPr>
          <w:rFonts w:ascii="Calibri" w:cs="Calibri" w:eastAsia="Calibri" w:hAnsi="Calibri"/>
          <w:b w:val="false"/>
          <w:bCs w:val="false"/>
          <w:i w:val="false"/>
          <w:iCs w:val="false"/>
          <w:color w:val="475569"/>
          <w:sz w:val="20"/>
          <w:szCs w:val="20"/>
        </w:rPr>
        <w:t xml:space="preserve">The icon alone has earned its recognition over the years. Use it as the watermark on photography, the favicon at small browser sizes, and on social media where the wordmark would be illegible.</w:t>
      </w:r>
    </w:p>
    <w:p>
      <w:pPr>
        <w:pStyle w:val="Heading3"/>
        <w:spacing w:after="100" w:before="220"/>
      </w:pPr>
      <w:r>
        <w:rPr>
          <w:rFonts w:ascii="Calibri" w:cs="Calibri" w:eastAsia="Calibri" w:hAnsi="Calibri"/>
          <w:b/>
          <w:bCs/>
          <w:color w:val="1E3A8A"/>
          <w:sz w:val="24"/>
          <w:szCs w:val="24"/>
        </w:rPr>
        <w:t xml:space="preserve">Monogram DMC — for very small or square contexts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BD5E1" w:sz="4"/>
              <w:left w:val="single" w:color="CBD5E1" w:sz="4"/>
              <w:bottom w:val="single" w:color="CBD5E1" w:sz="4"/>
              <w:right w:val="single" w:color="CBD5E1" w:sz="4"/>
            </w:tcBorders>
            <w:shd w:fill="F1F5F9" w:val="clear"/>
            <w:tcMar>
              <w:top w:type="dxa" w:w="240"/>
              <w:left w:type="dxa" w:w="180"/>
              <w:bottom w:type="dxa" w:w="240"/>
              <w:right w:type="dxa" w:w="180"/>
            </w:tcMar>
          </w:tcPr>
          <w:p>
            <w:pPr>
              <w:jc w:val="center"/>
            </w:pPr>
            <w:r>
              <w:drawing>
                <wp:inline distT="0" distB="0" distL="0" distR="0">
                  <wp:extent cx="1238250" cy="1238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1238250" cy="1238250"/>
                          </a:xfrm>
                          <a:prstGeom prst="rect">
                            <a:avLst/>
                          </a:prstGeom>
                        </pic:spPr>
                      </pic:pic>
                    </a:graphicData>
                  </a:graphic>
                </wp:inline>
              </w:drawing>
            </w:r>
          </w:p>
        </w:tc>
        <w:tc>
          <w:tcPr>
            <w:tcW w:type="dxa" w:w="4680"/>
            <w:tcBorders>
              <w:top w:val="single" w:color="CBD5E1" w:sz="4"/>
              <w:left w:val="single" w:color="CBD5E1" w:sz="4"/>
              <w:bottom w:val="single" w:color="CBD5E1" w:sz="4"/>
              <w:right w:val="single" w:color="CBD5E1" w:sz="4"/>
            </w:tcBorders>
            <w:shd w:fill="FFFFFF" w:val="clear"/>
            <w:tcMar>
              <w:top w:type="dxa" w:w="240"/>
              <w:left w:type="dxa" w:w="180"/>
              <w:bottom w:type="dxa" w:w="240"/>
              <w:right w:type="dxa" w:w="180"/>
            </w:tcMar>
          </w:tcPr>
          <w:p>
            <w:pPr>
              <w:jc w:val="center"/>
            </w:pPr>
            <w:r>
              <w:drawing>
                <wp:inline distT="0" distB="0" distL="0" distR="0">
                  <wp:extent cx="1238250" cy="1238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1238250" cy="1238250"/>
                          </a:xfrm>
                          <a:prstGeom prst="rect">
                            <a:avLst/>
                          </a:prstGeom>
                        </pic:spPr>
                      </pic:pic>
                    </a:graphicData>
                  </a:graphic>
                </wp:inline>
              </w:drawing>
            </w:r>
          </w:p>
        </w:tc>
      </w:tr>
    </w:tbl>
    <w:p>
      <w:pPr>
        <w:spacing w:after="80" w:before="80" w:line="300"/>
        <w:jc w:val="left"/>
      </w:pPr>
      <w:r>
        <w:rPr>
          <w:rFonts w:ascii="Calibri" w:cs="Calibri" w:eastAsia="Calibri" w:hAnsi="Calibri"/>
          <w:b w:val="false"/>
          <w:bCs w:val="false"/>
          <w:i w:val="false"/>
          <w:iCs w:val="false"/>
          <w:color w:val="475569"/>
          <w:sz w:val="20"/>
          <w:szCs w:val="20"/>
        </w:rPr>
        <w:t xml:space="preserve">The DMC monogram with a saffron underline is reserved for tight contexts: WhatsApp business profile, app icons under 60 px, profile avatars, and any context where the icon's house silhouette would lose detail.</w:t>
      </w:r>
    </w:p>
    <w:p>
      <w:pPr>
        <w:pStyle w:val="Heading1"/>
        <w:pageBreakBefore/>
        <w:spacing w:after="200" w:before="360"/>
      </w:pPr>
      <w:r>
        <w:rPr>
          <w:rFonts w:ascii="Calibri" w:cs="Calibri" w:eastAsia="Calibri" w:hAnsi="Calibri"/>
          <w:b/>
          <w:bCs/>
          <w:color w:val="0B1F4D"/>
          <w:sz w:val="44"/>
          <w:szCs w:val="44"/>
        </w:rPr>
        <w:t xml:space="preserve">06  Logo Usage Rules</w:t>
      </w:r>
    </w:p>
    <w:p>
      <w:pPr>
        <w:pStyle w:val="Heading2"/>
        <w:pBdr>
          <w:bottom w:val="single" w:color="E8930E" w:sz="6" w:space="4"/>
        </w:pBdr>
        <w:spacing w:after="140" w:before="280"/>
      </w:pPr>
      <w:r>
        <w:rPr>
          <w:rFonts w:ascii="Calibri" w:cs="Calibri" w:eastAsia="Calibri" w:hAnsi="Calibri"/>
          <w:b/>
          <w:bCs/>
          <w:color w:val="0B1F4D"/>
          <w:sz w:val="30"/>
          <w:szCs w:val="30"/>
        </w:rPr>
        <w:t xml:space="preserve">Clear space</w:t>
      </w:r>
    </w:p>
    <w:p>
      <w:pPr>
        <w:spacing w:after="80" w:before="80" w:line="300"/>
        <w:jc w:val="left"/>
      </w:pPr>
      <w:r>
        <w:rPr>
          <w:rFonts w:ascii="Calibri" w:cs="Calibri" w:eastAsia="Calibri" w:hAnsi="Calibri"/>
          <w:b w:val="false"/>
          <w:bCs w:val="false"/>
          <w:i w:val="false"/>
          <w:iCs w:val="false"/>
          <w:color w:val="1F2937"/>
          <w:sz w:val="22"/>
          <w:szCs w:val="22"/>
        </w:rPr>
        <w:t xml:space="preserve">Always reserve clear space around the logo equal to the height of the capital “D” in “Distance.” No other element, image, or text may enter this zone. This is non-negotiable on the website header, favicon area, and any partner co-branding.</w:t>
      </w:r>
    </w:p>
    <w:p>
      <w:pPr>
        <w:spacing w:after="120" w:before="120"/>
        <w:jc w:val="center"/>
      </w:pPr>
      <w:r>
        <w:drawing>
          <wp:inline distT="0" distB="0" distL="0" distR="0">
            <wp:extent cx="5143500" cy="1466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143500" cy="1466850"/>
                    </a:xfrm>
                    <a:prstGeom prst="rect">
                      <a:avLst/>
                    </a:prstGeom>
                  </pic:spPr>
                </pic:pic>
              </a:graphicData>
            </a:graphic>
          </wp:inline>
        </w:drawing>
      </w:r>
    </w:p>
    <w:p>
      <w:pPr>
        <w:pStyle w:val="Heading2"/>
        <w:pBdr>
          <w:bottom w:val="single" w:color="E8930E" w:sz="6" w:space="4"/>
        </w:pBdr>
        <w:spacing w:after="140" w:before="280"/>
      </w:pPr>
      <w:r>
        <w:rPr>
          <w:rFonts w:ascii="Calibri" w:cs="Calibri" w:eastAsia="Calibri" w:hAnsi="Calibri"/>
          <w:b/>
          <w:bCs/>
          <w:color w:val="0B1F4D"/>
          <w:sz w:val="30"/>
          <w:szCs w:val="30"/>
        </w:rPr>
        <w:t xml:space="preserve">Minimum sizes</w:t>
      </w:r>
    </w:p>
    <w:p>
      <w:pPr>
        <w:pStyle w:val="ListParagraph"/>
        <w:numPr>
          <w:ilvl w:val="0"/>
          <w:numId w:val="2"/>
        </w:numPr>
        <w:spacing w:after="40" w:before="40" w:line="300"/>
      </w:pPr>
      <w:r>
        <w:rPr>
          <w:rFonts w:ascii="Calibri" w:cs="Calibri" w:eastAsia="Calibri" w:hAnsi="Calibri"/>
          <w:b/>
          <w:bCs/>
          <w:color w:val="0B1F4D"/>
          <w:sz w:val="22"/>
          <w:szCs w:val="22"/>
        </w:rPr>
        <w:t xml:space="preserve">Digital primary lockup: </w:t>
      </w:r>
      <w:r>
        <w:rPr>
          <w:rFonts w:ascii="Calibri" w:cs="Calibri" w:eastAsia="Calibri" w:hAnsi="Calibri"/>
          <w:color w:val="1F2937"/>
          <w:sz w:val="22"/>
          <w:szCs w:val="22"/>
        </w:rPr>
        <w:t xml:space="preserve">180 px width minimum. Below this, switch to the icon or monogram.</w:t>
      </w:r>
    </w:p>
    <w:p>
      <w:pPr>
        <w:pStyle w:val="ListParagraph"/>
        <w:numPr>
          <w:ilvl w:val="0"/>
          <w:numId w:val="2"/>
        </w:numPr>
        <w:spacing w:after="40" w:before="40" w:line="300"/>
      </w:pPr>
      <w:r>
        <w:rPr>
          <w:rFonts w:ascii="Calibri" w:cs="Calibri" w:eastAsia="Calibri" w:hAnsi="Calibri"/>
          <w:b/>
          <w:bCs/>
          <w:color w:val="0B1F4D"/>
          <w:sz w:val="22"/>
          <w:szCs w:val="22"/>
        </w:rPr>
        <w:t xml:space="preserve">Print primary lockup: </w:t>
      </w:r>
      <w:r>
        <w:rPr>
          <w:rFonts w:ascii="Calibri" w:cs="Calibri" w:eastAsia="Calibri" w:hAnsi="Calibri"/>
          <w:color w:val="1F2937"/>
          <w:sz w:val="22"/>
          <w:szCs w:val="22"/>
        </w:rPr>
        <w:t xml:space="preserve">32 mm width minimum at 300 dpi.</w:t>
      </w:r>
    </w:p>
    <w:p>
      <w:pPr>
        <w:pStyle w:val="ListParagraph"/>
        <w:numPr>
          <w:ilvl w:val="0"/>
          <w:numId w:val="2"/>
        </w:numPr>
        <w:spacing w:after="40" w:before="40" w:line="300"/>
      </w:pPr>
      <w:r>
        <w:rPr>
          <w:rFonts w:ascii="Calibri" w:cs="Calibri" w:eastAsia="Calibri" w:hAnsi="Calibri"/>
          <w:b/>
          <w:bCs/>
          <w:color w:val="0B1F4D"/>
          <w:sz w:val="22"/>
          <w:szCs w:val="22"/>
        </w:rPr>
        <w:t xml:space="preserve">Favicon and app icons: </w:t>
      </w:r>
      <w:r>
        <w:rPr>
          <w:rFonts w:ascii="Calibri" w:cs="Calibri" w:eastAsia="Calibri" w:hAnsi="Calibri"/>
          <w:color w:val="1F2937"/>
          <w:sz w:val="22"/>
          <w:szCs w:val="22"/>
        </w:rPr>
        <w:t xml:space="preserve">use the monogram (DMC), not the full logo.</w:t>
      </w:r>
    </w:p>
    <w:p>
      <w:pPr>
        <w:pStyle w:val="ListParagraph"/>
        <w:numPr>
          <w:ilvl w:val="0"/>
          <w:numId w:val="2"/>
        </w:numPr>
        <w:spacing w:after="40" w:before="40" w:line="300"/>
      </w:pPr>
      <w:r>
        <w:rPr>
          <w:rFonts w:ascii="Calibri" w:cs="Calibri" w:eastAsia="Calibri" w:hAnsi="Calibri"/>
          <w:b/>
          <w:bCs/>
          <w:color w:val="0B1F4D"/>
          <w:sz w:val="22"/>
          <w:szCs w:val="22"/>
        </w:rPr>
        <w:t xml:space="preserve">Watermark on photography: </w:t>
      </w:r>
      <w:r>
        <w:rPr>
          <w:rFonts w:ascii="Calibri" w:cs="Calibri" w:eastAsia="Calibri" w:hAnsi="Calibri"/>
          <w:color w:val="1F2937"/>
          <w:sz w:val="22"/>
          <w:szCs w:val="22"/>
        </w:rPr>
        <w:t xml:space="preserve">use the icon-only variant at 8-12% opacity.</w:t>
      </w:r>
    </w:p>
    <w:p>
      <w:pPr>
        <w:pStyle w:val="Heading2"/>
        <w:pBdr>
          <w:bottom w:val="single" w:color="E8930E" w:sz="6" w:space="4"/>
        </w:pBdr>
        <w:spacing w:after="140" w:before="280"/>
      </w:pPr>
      <w:r>
        <w:rPr>
          <w:rFonts w:ascii="Calibri" w:cs="Calibri" w:eastAsia="Calibri" w:hAnsi="Calibri"/>
          <w:b/>
          <w:bCs/>
          <w:color w:val="0B1F4D"/>
          <w:sz w:val="30"/>
          <w:szCs w:val="30"/>
        </w:rPr>
        <w:t xml:space="preserve">Approved backgrounds</w:t>
      </w:r>
    </w:p>
    <w:p>
      <w:pPr>
        <w:pStyle w:val="ListParagraph"/>
        <w:numPr>
          <w:ilvl w:val="0"/>
          <w:numId w:val="2"/>
        </w:numPr>
        <w:spacing w:after="40" w:before="40" w:line="300"/>
      </w:pPr>
      <w:r>
        <w:rPr>
          <w:rFonts w:ascii="Calibri" w:cs="Calibri" w:eastAsia="Calibri" w:hAnsi="Calibri"/>
          <w:b/>
          <w:bCs/>
          <w:color w:val="0B1F4D"/>
          <w:sz w:val="22"/>
          <w:szCs w:val="22"/>
        </w:rPr>
        <w:t xml:space="preserve">Light surfaces. </w:t>
      </w:r>
      <w:r>
        <w:rPr>
          <w:rFonts w:ascii="Calibri" w:cs="Calibri" w:eastAsia="Calibri" w:hAnsi="Calibri"/>
          <w:color w:val="1F2937"/>
          <w:sz w:val="22"/>
          <w:szCs w:val="22"/>
        </w:rPr>
        <w:t xml:space="preserve">White, Cream, Mist, light photography. Use the primary lockup.</w:t>
      </w:r>
    </w:p>
    <w:p>
      <w:pPr>
        <w:pStyle w:val="ListParagraph"/>
        <w:numPr>
          <w:ilvl w:val="0"/>
          <w:numId w:val="2"/>
        </w:numPr>
        <w:spacing w:after="40" w:before="40" w:line="300"/>
      </w:pPr>
      <w:r>
        <w:rPr>
          <w:rFonts w:ascii="Calibri" w:cs="Calibri" w:eastAsia="Calibri" w:hAnsi="Calibri"/>
          <w:b/>
          <w:bCs/>
          <w:color w:val="0B1F4D"/>
          <w:sz w:val="22"/>
          <w:szCs w:val="22"/>
        </w:rPr>
        <w:t xml:space="preserve">Navy. </w:t>
      </w:r>
      <w:r>
        <w:rPr>
          <w:rFonts w:ascii="Calibri" w:cs="Calibri" w:eastAsia="Calibri" w:hAnsi="Calibri"/>
          <w:color w:val="1F2937"/>
          <w:sz w:val="22"/>
          <w:szCs w:val="22"/>
        </w:rPr>
        <w:t xml:space="preserve">Use the reverse variant.</w:t>
      </w:r>
    </w:p>
    <w:p>
      <w:pPr>
        <w:pStyle w:val="ListParagraph"/>
        <w:numPr>
          <w:ilvl w:val="0"/>
          <w:numId w:val="2"/>
        </w:numPr>
        <w:spacing w:after="40" w:before="40" w:line="300"/>
      </w:pPr>
      <w:r>
        <w:rPr>
          <w:rFonts w:ascii="Calibri" w:cs="Calibri" w:eastAsia="Calibri" w:hAnsi="Calibri"/>
          <w:b/>
          <w:bCs/>
          <w:color w:val="0B1F4D"/>
          <w:sz w:val="22"/>
          <w:szCs w:val="22"/>
        </w:rPr>
        <w:t xml:space="preserve">Saffron or cream-yellow backgrounds. </w:t>
      </w:r>
      <w:r>
        <w:rPr>
          <w:rFonts w:ascii="Calibri" w:cs="Calibri" w:eastAsia="Calibri" w:hAnsi="Calibri"/>
          <w:color w:val="1F2937"/>
          <w:sz w:val="22"/>
          <w:szCs w:val="22"/>
        </w:rPr>
        <w:t xml:space="preserve">Avoid. The MBA word loses contrast. Use monochrome navy instead.</w:t>
      </w:r>
    </w:p>
    <w:p>
      <w:pPr>
        <w:pStyle w:val="ListParagraph"/>
        <w:numPr>
          <w:ilvl w:val="0"/>
          <w:numId w:val="2"/>
        </w:numPr>
        <w:spacing w:after="40" w:before="40" w:line="300"/>
      </w:pPr>
      <w:r>
        <w:rPr>
          <w:rFonts w:ascii="Calibri" w:cs="Calibri" w:eastAsia="Calibri" w:hAnsi="Calibri"/>
          <w:b/>
          <w:bCs/>
          <w:color w:val="0B1F4D"/>
          <w:sz w:val="22"/>
          <w:szCs w:val="22"/>
        </w:rPr>
        <w:t xml:space="preserve">Busy photography. </w:t>
      </w:r>
      <w:r>
        <w:rPr>
          <w:rFonts w:ascii="Calibri" w:cs="Calibri" w:eastAsia="Calibri" w:hAnsi="Calibri"/>
          <w:color w:val="1F2937"/>
          <w:sz w:val="22"/>
          <w:szCs w:val="22"/>
        </w:rPr>
        <w:t xml:space="preserve">Place the logo inside a navy or cream rectangle so contrast is preserved.</w:t>
      </w:r>
    </w:p>
    <w:p>
      <w:pPr>
        <w:pStyle w:val="Heading2"/>
        <w:pBdr>
          <w:bottom w:val="single" w:color="E8930E" w:sz="6" w:space="4"/>
        </w:pBdr>
        <w:spacing w:after="140" w:before="280"/>
      </w:pPr>
      <w:r>
        <w:rPr>
          <w:rFonts w:ascii="Calibri" w:cs="Calibri" w:eastAsia="Calibri" w:hAnsi="Calibri"/>
          <w:b/>
          <w:bCs/>
          <w:color w:val="0B1F4D"/>
          <w:sz w:val="30"/>
          <w:szCs w:val="30"/>
        </w:rPr>
        <w:t xml:space="preserve">Misuse — these are not approved</w:t>
      </w:r>
    </w:p>
    <w:p>
      <w:pPr>
        <w:spacing w:after="80" w:before="80" w:line="300"/>
        <w:jc w:val="left"/>
      </w:pPr>
      <w:r>
        <w:rPr>
          <w:rFonts w:ascii="Calibri" w:cs="Calibri" w:eastAsia="Calibri" w:hAnsi="Calibri"/>
          <w:b w:val="false"/>
          <w:bCs w:val="false"/>
          <w:i w:val="false"/>
          <w:iCs w:val="false"/>
          <w:color w:val="1F2937"/>
          <w:sz w:val="22"/>
          <w:szCs w:val="22"/>
        </w:rPr>
        <w:t xml:space="preserve">The four examples below demonstrate violations that compromise brand integrity. Any of these in production should be flagged and corrected.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BD5E1" w:sz="4"/>
              <w:left w:val="single" w:color="CBD5E1" w:sz="4"/>
              <w:bottom w:val="single" w:color="CBD5E1" w:sz="4"/>
              <w:right w:val="single" w:color="CBD5E1" w:sz="4"/>
            </w:tcBorders>
            <w:tcMar>
              <w:top w:type="dxa" w:w="180"/>
              <w:left w:type="dxa" w:w="180"/>
              <w:bottom w:type="dxa" w:w="80"/>
              <w:right w:type="dxa" w:w="180"/>
            </w:tcMar>
          </w:tcPr>
          <w:p>
            <w:pPr>
              <w:spacing w:after="80" w:before="0"/>
              <w:jc w:val="center"/>
            </w:pPr>
            <w:r>
              <w:drawing>
                <wp:inline distT="0" distB="0" distL="0" distR="0">
                  <wp:extent cx="1905000" cy="400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1905000" cy="400050"/>
                          </a:xfrm>
                          <a:prstGeom prst="rect">
                            <a:avLst/>
                          </a:prstGeom>
                        </pic:spPr>
                      </pic:pic>
                    </a:graphicData>
                  </a:graphic>
                </wp:inline>
              </w:drawing>
            </w:r>
          </w:p>
          <w:p>
            <w:pPr>
              <w:spacing w:after="0" w:before="0"/>
              <w:jc w:val="center"/>
            </w:pPr>
            <w:r>
              <w:rPr>
                <w:rFonts w:ascii="Calibri" w:cs="Calibri" w:eastAsia="Calibri" w:hAnsi="Calibri"/>
                <w:b/>
                <w:bCs/>
                <w:color w:val="0B1F4D"/>
                <w:sz w:val="18"/>
                <w:szCs w:val="18"/>
              </w:rPr>
              <w:t xml:space="preserve">Don't stretch or squash</w:t>
            </w:r>
          </w:p>
        </w:tc>
        <w:tc>
          <w:tcPr>
            <w:tcW w:type="dxa" w:w="4680"/>
            <w:tcBorders>
              <w:top w:val="single" w:color="CBD5E1" w:sz="4"/>
              <w:left w:val="single" w:color="CBD5E1" w:sz="4"/>
              <w:bottom w:val="single" w:color="CBD5E1" w:sz="4"/>
              <w:right w:val="single" w:color="CBD5E1" w:sz="4"/>
            </w:tcBorders>
            <w:tcMar>
              <w:top w:type="dxa" w:w="80"/>
              <w:left w:type="dxa" w:w="180"/>
              <w:bottom w:type="dxa" w:w="80"/>
              <w:right w:type="dxa" w:w="180"/>
            </w:tcMar>
          </w:tcPr>
          <w:p>
            <w:pPr>
              <w:spacing w:after="80" w:before="0"/>
              <w:jc w:val="center"/>
            </w:pPr>
            <w:r>
              <w:drawing>
                <wp:inline distT="0" distB="0" distL="0" distR="0">
                  <wp:extent cx="1905000" cy="571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1905000" cy="571500"/>
                          </a:xfrm>
                          <a:prstGeom prst="rect">
                            <a:avLst/>
                          </a:prstGeom>
                        </pic:spPr>
                      </pic:pic>
                    </a:graphicData>
                  </a:graphic>
                </wp:inline>
              </w:drawing>
            </w:r>
          </w:p>
          <w:p>
            <w:pPr>
              <w:spacing w:after="0" w:before="0"/>
              <w:jc w:val="center"/>
            </w:pPr>
            <w:r>
              <w:rPr>
                <w:rFonts w:ascii="Calibri" w:cs="Calibri" w:eastAsia="Calibri" w:hAnsi="Calibri"/>
                <w:b/>
                <w:bCs/>
                <w:color w:val="0B1F4D"/>
                <w:sz w:val="18"/>
                <w:szCs w:val="18"/>
              </w:rPr>
              <w:t xml:space="preserve">Don't recolour</w:t>
            </w:r>
          </w:p>
        </w:tc>
      </w:tr>
      <w:tr>
        <w:tc>
          <w:tcPr>
            <w:tcW w:type="dxa" w:w="4680"/>
            <w:tcBorders>
              <w:top w:val="single" w:color="CBD5E1" w:sz="4"/>
              <w:left w:val="single" w:color="CBD5E1" w:sz="4"/>
              <w:bottom w:val="single" w:color="CBD5E1" w:sz="4"/>
              <w:right w:val="single" w:color="CBD5E1" w:sz="4"/>
            </w:tcBorders>
            <w:tcMar>
              <w:top w:type="dxa" w:w="80"/>
              <w:left w:type="dxa" w:w="180"/>
              <w:bottom w:type="dxa" w:w="80"/>
              <w:right w:type="dxa" w:w="180"/>
            </w:tcMar>
          </w:tcPr>
          <w:p>
            <w:pPr>
              <w:spacing w:after="80" w:before="0"/>
              <w:jc w:val="center"/>
            </w:pPr>
            <w:r>
              <w:drawing>
                <wp:inline distT="0" distB="0" distL="0" distR="0">
                  <wp:extent cx="1905000" cy="571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1905000" cy="571500"/>
                          </a:xfrm>
                          <a:prstGeom prst="rect">
                            <a:avLst/>
                          </a:prstGeom>
                        </pic:spPr>
                      </pic:pic>
                    </a:graphicData>
                  </a:graphic>
                </wp:inline>
              </w:drawing>
            </w:r>
          </w:p>
          <w:p>
            <w:pPr>
              <w:spacing w:after="0" w:before="0"/>
              <w:jc w:val="center"/>
            </w:pPr>
            <w:r>
              <w:rPr>
                <w:rFonts w:ascii="Calibri" w:cs="Calibri" w:eastAsia="Calibri" w:hAnsi="Calibri"/>
                <w:b/>
                <w:bCs/>
                <w:color w:val="0B1F4D"/>
                <w:sz w:val="18"/>
                <w:szCs w:val="18"/>
              </w:rPr>
              <w:t xml:space="preserve">Don't rotate or tilt</w:t>
            </w:r>
          </w:p>
        </w:tc>
        <w:tc>
          <w:tcPr>
            <w:tcW w:type="dxa" w:w="4680"/>
            <w:tcBorders>
              <w:top w:val="single" w:color="CBD5E1" w:sz="4"/>
              <w:left w:val="single" w:color="CBD5E1" w:sz="4"/>
              <w:bottom w:val="single" w:color="CBD5E1" w:sz="4"/>
              <w:right w:val="single" w:color="CBD5E1" w:sz="4"/>
            </w:tcBorders>
            <w:tcMar>
              <w:top w:type="dxa" w:w="80"/>
              <w:left w:type="dxa" w:w="180"/>
              <w:bottom w:type="dxa" w:w="80"/>
              <w:right w:type="dxa" w:w="180"/>
            </w:tcMar>
          </w:tcPr>
          <w:p>
            <w:pPr>
              <w:spacing w:after="80" w:before="0"/>
              <w:jc w:val="center"/>
            </w:pPr>
            <w:r>
              <w:drawing>
                <wp:inline distT="0" distB="0" distL="0" distR="0">
                  <wp:extent cx="1905000" cy="571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1905000" cy="571500"/>
                          </a:xfrm>
                          <a:prstGeom prst="rect">
                            <a:avLst/>
                          </a:prstGeom>
                        </pic:spPr>
                      </pic:pic>
                    </a:graphicData>
                  </a:graphic>
                </wp:inline>
              </w:drawing>
            </w:r>
          </w:p>
          <w:p>
            <w:pPr>
              <w:spacing w:after="0" w:before="0"/>
              <w:jc w:val="center"/>
            </w:pPr>
            <w:r>
              <w:rPr>
                <w:rFonts w:ascii="Calibri" w:cs="Calibri" w:eastAsia="Calibri" w:hAnsi="Calibri"/>
                <w:b/>
                <w:bCs/>
                <w:color w:val="0B1F4D"/>
                <w:sz w:val="18"/>
                <w:szCs w:val="18"/>
              </w:rPr>
              <w:t xml:space="preserve">Don't add shadows or effects</w:t>
            </w:r>
          </w:p>
        </w:tc>
      </w:tr>
    </w:tbl>
    <w:p>
      <w:pPr>
        <w:pStyle w:val="Heading1"/>
        <w:pageBreakBefore/>
        <w:spacing w:after="200" w:before="360"/>
      </w:pPr>
      <w:r>
        <w:rPr>
          <w:rFonts w:ascii="Calibri" w:cs="Calibri" w:eastAsia="Calibri" w:hAnsi="Calibri"/>
          <w:b/>
          <w:bCs/>
          <w:color w:val="0B1F4D"/>
          <w:sz w:val="44"/>
          <w:szCs w:val="44"/>
        </w:rPr>
        <w:t xml:space="preserve">07  Colour System</w:t>
      </w:r>
    </w:p>
    <w:p>
      <w:pPr>
        <w:spacing w:after="80" w:before="80" w:line="300"/>
        <w:jc w:val="left"/>
      </w:pPr>
      <w:r>
        <w:rPr>
          <w:rFonts w:ascii="Calibri" w:cs="Calibri" w:eastAsia="Calibri" w:hAnsi="Calibri"/>
          <w:b w:val="false"/>
          <w:bCs w:val="false"/>
          <w:i w:val="false"/>
          <w:iCs w:val="false"/>
          <w:color w:val="1F2937"/>
          <w:sz w:val="22"/>
          <w:szCs w:val="22"/>
        </w:rPr>
        <w:t xml:space="preserve">Every colour below is chosen on two grounds simultaneously. First, alignment with the brand's strategic positioning as a trusted advisor. Second, the demonstrable performance of these colours in education and trust-led categories.</w:t>
      </w:r>
    </w:p>
    <w:p>
      <w:pPr>
        <w:pStyle w:val="Heading2"/>
        <w:pBdr>
          <w:bottom w:val="single" w:color="E8930E" w:sz="6" w:space="4"/>
        </w:pBdr>
        <w:spacing w:after="140" w:before="280"/>
      </w:pPr>
      <w:r>
        <w:rPr>
          <w:rFonts w:ascii="Calibri" w:cs="Calibri" w:eastAsia="Calibri" w:hAnsi="Calibri"/>
          <w:b/>
          <w:bCs/>
          <w:color w:val="0B1F4D"/>
          <w:sz w:val="30"/>
          <w:szCs w:val="30"/>
        </w:rPr>
        <w:t xml:space="preserve">Primary palette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0B1F4D" w:val="clear"/>
            <w:tcMar>
              <w:top w:type="dxa" w:w="500"/>
              <w:left w:type="dxa" w:w="180"/>
              <w:bottom w:type="dxa" w:w="500"/>
              <w:right w:type="dxa" w:w="180"/>
            </w:tcMar>
          </w:tcPr>
          <w:p>
            <w:r>
              <w:rPr>
                <w:sz w:val="24"/>
                <w:szCs w:val="24"/>
              </w:rPr>
              <w:t xml:space="preserve"/>
            </w:r>
          </w:p>
        </w:tc>
        <w:tc>
          <w:tcPr>
            <w:tcW w:type="dxa" w:w="4680"/>
            <w:tcBorders>
              <w:top w:val="none" w:color="FFFFFF" w:sz="0"/>
              <w:left w:val="none" w:color="FFFFFF" w:sz="0"/>
              <w:bottom w:val="none" w:color="FFFFFF" w:sz="0"/>
              <w:right w:val="none" w:color="FFFFFF" w:sz="0"/>
            </w:tcBorders>
            <w:shd w:fill="E8930E" w:val="clear"/>
            <w:tcMar>
              <w:top w:type="dxa" w:w="500"/>
              <w:left w:type="dxa" w:w="180"/>
              <w:bottom w:type="dxa" w:w="500"/>
              <w:right w:type="dxa" w:w="180"/>
            </w:tcMar>
          </w:tcPr>
          <w:p>
            <w:r>
              <w:rPr>
                <w:sz w:val="24"/>
                <w:szCs w:val="24"/>
              </w:rPr>
              <w:t xml:space="preserve"/>
            </w:r>
          </w:p>
        </w:tc>
      </w:tr>
      <w:tr>
        <w:tc>
          <w:tcPr>
            <w:tcW w:type="dxa" w:w="4680"/>
            <w:tcBorders>
              <w:top w:val="single" w:color="CBD5E1" w:sz="4"/>
              <w:left w:val="single" w:color="CBD5E1" w:sz="4"/>
              <w:bottom w:val="single" w:color="CBD5E1" w:sz="4"/>
              <w:right w:val="single" w:color="CBD5E1" w:sz="4"/>
            </w:tcBorders>
            <w:shd w:fill="FFFFFF" w:val="clear"/>
            <w:tcMar>
              <w:top w:type="dxa" w:w="140"/>
              <w:left w:type="dxa" w:w="180"/>
              <w:bottom w:type="dxa" w:w="140"/>
              <w:right w:type="dxa" w:w="180"/>
            </w:tcMar>
            <w:vAlign w:val="center"/>
          </w:tcPr>
          <w:p>
            <w:pPr>
              <w:spacing w:after="20" w:before="20"/>
              <w:jc w:val="left"/>
            </w:pPr>
            <w:r>
              <w:rPr>
                <w:rFonts w:ascii="Calibri" w:cs="Calibri" w:eastAsia="Calibri" w:hAnsi="Calibri"/>
                <w:b/>
                <w:bCs/>
                <w:color w:val="0B1F4D"/>
                <w:sz w:val="20"/>
                <w:szCs w:val="20"/>
              </w:rPr>
              <w:t xml:space="preserve">Navy
HEX #0B1F4D
RGB 11, 31, 77
CMYK 86, 60, 0, 70</w:t>
            </w:r>
          </w:p>
        </w:tc>
        <w:tc>
          <w:tcPr>
            <w:tcW w:type="dxa" w:w="4680"/>
            <w:tcBorders>
              <w:top w:val="single" w:color="CBD5E1" w:sz="4"/>
              <w:left w:val="single" w:color="CBD5E1" w:sz="4"/>
              <w:bottom w:val="single" w:color="CBD5E1" w:sz="4"/>
              <w:right w:val="single" w:color="CBD5E1" w:sz="4"/>
            </w:tcBorders>
            <w:shd w:fill="FFFFFF" w:val="clear"/>
            <w:tcMar>
              <w:top w:type="dxa" w:w="140"/>
              <w:left w:type="dxa" w:w="180"/>
              <w:bottom w:type="dxa" w:w="140"/>
              <w:right w:type="dxa" w:w="180"/>
            </w:tcMar>
            <w:vAlign w:val="center"/>
          </w:tcPr>
          <w:p>
            <w:pPr>
              <w:spacing w:after="20" w:before="20"/>
              <w:jc w:val="left"/>
            </w:pPr>
            <w:r>
              <w:rPr>
                <w:rFonts w:ascii="Calibri" w:cs="Calibri" w:eastAsia="Calibri" w:hAnsi="Calibri"/>
                <w:b/>
                <w:bCs/>
                <w:color w:val="E8930E"/>
                <w:sz w:val="20"/>
                <w:szCs w:val="20"/>
              </w:rPr>
              <w:t xml:space="preserve">Saffron
HEX #E8930E
RGB 232, 147, 14
CMYK 0, 37, 94, 9</w:t>
            </w:r>
          </w:p>
        </w:tc>
      </w:tr>
      <w:tr>
        <w:tc>
          <w:tcPr>
            <w:tcW w:type="dxa" w:w="4680"/>
            <w:tcBorders>
              <w:top w:val="single" w:color="CBD5E1" w:sz="4"/>
              <w:left w:val="single" w:color="CBD5E1" w:sz="4"/>
              <w:bottom w:val="single" w:color="CBD5E1" w:sz="4"/>
              <w:right w:val="single" w:color="CBD5E1" w:sz="4"/>
            </w:tcBorders>
            <w:tcMar>
              <w:top w:type="dxa" w:w="140"/>
              <w:left w:type="dxa" w:w="180"/>
              <w:bottom w:type="dxa" w:w="140"/>
              <w:right w:type="dxa" w:w="180"/>
            </w:tcMar>
            <w:vAlign w:val="center"/>
          </w:tcPr>
          <w:p>
            <w:pPr>
              <w:spacing w:after="20" w:before="20"/>
              <w:jc w:val="left"/>
            </w:pPr>
            <w:r>
              <w:rPr>
                <w:rFonts w:ascii="Calibri" w:cs="Calibri" w:eastAsia="Calibri" w:hAnsi="Calibri"/>
                <w:b w:val="false"/>
                <w:bCs w:val="false"/>
                <w:color w:val="1F2937"/>
                <w:sz w:val="20"/>
                <w:szCs w:val="20"/>
              </w:rPr>
              <w:t xml:space="preserve">The spine of the identity. Logo primary, headlines, navigation, trust surfaces.</w:t>
            </w:r>
          </w:p>
        </w:tc>
        <w:tc>
          <w:tcPr>
            <w:tcW w:type="dxa" w:w="4680"/>
            <w:tcBorders>
              <w:top w:val="single" w:color="CBD5E1" w:sz="4"/>
              <w:left w:val="single" w:color="CBD5E1" w:sz="4"/>
              <w:bottom w:val="single" w:color="CBD5E1" w:sz="4"/>
              <w:right w:val="single" w:color="CBD5E1" w:sz="4"/>
            </w:tcBorders>
            <w:tcMar>
              <w:top w:type="dxa" w:w="140"/>
              <w:left w:type="dxa" w:w="180"/>
              <w:bottom w:type="dxa" w:w="140"/>
              <w:right w:type="dxa" w:w="180"/>
            </w:tcMar>
            <w:vAlign w:val="center"/>
          </w:tcPr>
          <w:p>
            <w:pPr>
              <w:spacing w:after="20" w:before="20"/>
              <w:jc w:val="left"/>
            </w:pPr>
            <w:r>
              <w:rPr>
                <w:rFonts w:ascii="Calibri" w:cs="Calibri" w:eastAsia="Calibri" w:hAnsi="Calibri"/>
                <w:b w:val="false"/>
                <w:bCs w:val="false"/>
                <w:color w:val="1F2937"/>
                <w:sz w:val="20"/>
                <w:szCs w:val="20"/>
              </w:rPr>
              <w:t xml:space="preserve">The warmth. CTAs, accents, highlights, the MBA word, and the arc.</w:t>
            </w:r>
          </w:p>
        </w:tc>
      </w:tr>
    </w:tbl>
    <w:p>
      <w:pPr>
        <w:spacing w:after="100" w:before="100"/>
      </w:pPr>
      <w:r>
        <w:t xml:space="preserve"/>
      </w:r>
    </w:p>
    <w:p>
      <w:pPr>
        <w:pStyle w:val="Heading2"/>
        <w:pBdr>
          <w:bottom w:val="single" w:color="E8930E" w:sz="6" w:space="4"/>
        </w:pBdr>
        <w:spacing w:after="140" w:before="280"/>
      </w:pPr>
      <w:r>
        <w:rPr>
          <w:rFonts w:ascii="Calibri" w:cs="Calibri" w:eastAsia="Calibri" w:hAnsi="Calibri"/>
          <w:b/>
          <w:bCs/>
          <w:color w:val="0B1F4D"/>
          <w:sz w:val="30"/>
          <w:szCs w:val="30"/>
        </w:rPr>
        <w:t xml:space="preserve">Supporting palette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none" w:color="FFFFFF" w:sz="0"/>
              <w:left w:val="none" w:color="FFFFFF" w:sz="0"/>
              <w:bottom w:val="none" w:color="FFFFFF" w:sz="0"/>
              <w:right w:val="none" w:color="FFFFFF" w:sz="0"/>
            </w:tcBorders>
            <w:shd w:fill="1E3A8A" w:val="clear"/>
            <w:tcMar>
              <w:top w:type="dxa" w:w="500"/>
              <w:left w:type="dxa" w:w="180"/>
              <w:bottom w:type="dxa" w:w="500"/>
              <w:right w:type="dxa" w:w="180"/>
            </w:tcMar>
          </w:tcPr>
          <w:p>
            <w:r>
              <w:rPr>
                <w:sz w:val="24"/>
                <w:szCs w:val="24"/>
              </w:rPr>
              <w:t xml:space="preserve"/>
            </w:r>
          </w:p>
        </w:tc>
        <w:tc>
          <w:tcPr>
            <w:tcW w:type="dxa" w:w="3120"/>
            <w:tcBorders>
              <w:top w:val="none" w:color="FFFFFF" w:sz="0"/>
              <w:left w:val="none" w:color="FFFFFF" w:sz="0"/>
              <w:bottom w:val="none" w:color="FFFFFF" w:sz="0"/>
              <w:right w:val="none" w:color="FFFFFF" w:sz="0"/>
            </w:tcBorders>
            <w:shd w:fill="FBBF24" w:val="clear"/>
            <w:tcMar>
              <w:top w:type="dxa" w:w="500"/>
              <w:left w:type="dxa" w:w="180"/>
              <w:bottom w:type="dxa" w:w="500"/>
              <w:right w:type="dxa" w:w="180"/>
            </w:tcMar>
          </w:tcPr>
          <w:p>
            <w:r>
              <w:rPr>
                <w:sz w:val="24"/>
                <w:szCs w:val="24"/>
              </w:rPr>
              <w:t xml:space="preserve"/>
            </w:r>
          </w:p>
        </w:tc>
        <w:tc>
          <w:tcPr>
            <w:tcW w:type="dxa" w:w="3120"/>
            <w:tcBorders>
              <w:top w:val="none" w:color="FFFFFF" w:sz="0"/>
              <w:left w:val="none" w:color="FFFFFF" w:sz="0"/>
              <w:bottom w:val="none" w:color="FFFFFF" w:sz="0"/>
              <w:right w:val="none" w:color="FFFFFF" w:sz="0"/>
            </w:tcBorders>
            <w:shd w:fill="FAF7F0" w:val="clear"/>
            <w:tcMar>
              <w:top w:type="dxa" w:w="500"/>
              <w:left w:type="dxa" w:w="180"/>
              <w:bottom w:type="dxa" w:w="500"/>
              <w:right w:type="dxa" w:w="180"/>
            </w:tcMar>
          </w:tcPr>
          <w:p>
            <w:r>
              <w:rPr>
                <w:sz w:val="24"/>
                <w:szCs w:val="24"/>
              </w:rPr>
              <w:t xml:space="preserve"/>
            </w:r>
          </w:p>
        </w:tc>
      </w:tr>
      <w:tr>
        <w:tc>
          <w:tcPr>
            <w:tcW w:type="dxa" w:w="3120"/>
            <w:tcBorders>
              <w:top w:val="single" w:color="CBD5E1" w:sz="4"/>
              <w:left w:val="single" w:color="CBD5E1" w:sz="4"/>
              <w:bottom w:val="single" w:color="CBD5E1" w:sz="4"/>
              <w:right w:val="single" w:color="CBD5E1" w:sz="4"/>
            </w:tcBorders>
            <w:shd w:fill="FFFFFF" w:val="clear"/>
            <w:tcMar>
              <w:top w:type="dxa" w:w="140"/>
              <w:left w:type="dxa" w:w="180"/>
              <w:bottom w:type="dxa" w:w="140"/>
              <w:right w:type="dxa" w:w="180"/>
            </w:tcMar>
            <w:vAlign w:val="center"/>
          </w:tcPr>
          <w:p>
            <w:pPr>
              <w:spacing w:after="20" w:before="20"/>
              <w:jc w:val="left"/>
            </w:pPr>
            <w:r>
              <w:rPr>
                <w:rFonts w:ascii="Calibri" w:cs="Calibri" w:eastAsia="Calibri" w:hAnsi="Calibri"/>
                <w:b/>
                <w:bCs/>
                <w:color w:val="1E3A8A"/>
                <w:sz w:val="20"/>
                <w:szCs w:val="20"/>
              </w:rPr>
              <w:t xml:space="preserve">Counsel Blue
#1E3A8A</w:t>
            </w:r>
          </w:p>
        </w:tc>
        <w:tc>
          <w:tcPr>
            <w:tcW w:type="dxa" w:w="3120"/>
            <w:tcBorders>
              <w:top w:val="single" w:color="CBD5E1" w:sz="4"/>
              <w:left w:val="single" w:color="CBD5E1" w:sz="4"/>
              <w:bottom w:val="single" w:color="CBD5E1" w:sz="4"/>
              <w:right w:val="single" w:color="CBD5E1" w:sz="4"/>
            </w:tcBorders>
            <w:shd w:fill="FFFFFF" w:val="clear"/>
            <w:tcMar>
              <w:top w:type="dxa" w:w="140"/>
              <w:left w:type="dxa" w:w="180"/>
              <w:bottom w:type="dxa" w:w="140"/>
              <w:right w:type="dxa" w:w="180"/>
            </w:tcMar>
            <w:vAlign w:val="center"/>
          </w:tcPr>
          <w:p>
            <w:pPr>
              <w:spacing w:after="20" w:before="20"/>
              <w:jc w:val="left"/>
            </w:pPr>
            <w:r>
              <w:rPr>
                <w:rFonts w:ascii="Calibri" w:cs="Calibri" w:eastAsia="Calibri" w:hAnsi="Calibri"/>
                <w:b/>
                <w:bCs/>
                <w:color w:val="E8930E"/>
                <w:sz w:val="20"/>
                <w:szCs w:val="20"/>
              </w:rPr>
              <w:t xml:space="preserve">Soft Gold
#FBBF24</w:t>
            </w:r>
          </w:p>
        </w:tc>
        <w:tc>
          <w:tcPr>
            <w:tcW w:type="dxa" w:w="3120"/>
            <w:tcBorders>
              <w:top w:val="single" w:color="CBD5E1" w:sz="4"/>
              <w:left w:val="single" w:color="CBD5E1" w:sz="4"/>
              <w:bottom w:val="single" w:color="CBD5E1" w:sz="4"/>
              <w:right w:val="single" w:color="CBD5E1" w:sz="4"/>
            </w:tcBorders>
            <w:shd w:fill="FFFFFF" w:val="clear"/>
            <w:tcMar>
              <w:top w:type="dxa" w:w="140"/>
              <w:left w:type="dxa" w:w="180"/>
              <w:bottom w:type="dxa" w:w="140"/>
              <w:right w:type="dxa" w:w="180"/>
            </w:tcMar>
            <w:vAlign w:val="center"/>
          </w:tcPr>
          <w:p>
            <w:pPr>
              <w:spacing w:after="20" w:before="20"/>
              <w:jc w:val="left"/>
            </w:pPr>
            <w:r>
              <w:rPr>
                <w:rFonts w:ascii="Calibri" w:cs="Calibri" w:eastAsia="Calibri" w:hAnsi="Calibri"/>
                <w:b/>
                <w:bCs/>
                <w:color w:val="1F2937"/>
                <w:sz w:val="20"/>
                <w:szCs w:val="20"/>
              </w:rPr>
              <w:t xml:space="preserve">Cream
#FAF7F0</w:t>
            </w:r>
          </w:p>
        </w:tc>
      </w:tr>
      <w:tr>
        <w:tc>
          <w:tcPr>
            <w:tcW w:type="dxa" w:w="3120"/>
            <w:tcBorders>
              <w:top w:val="single" w:color="CBD5E1" w:sz="4"/>
              <w:left w:val="single" w:color="CBD5E1" w:sz="4"/>
              <w:bottom w:val="single" w:color="CBD5E1" w:sz="4"/>
              <w:right w:val="single" w:color="CBD5E1" w:sz="4"/>
            </w:tcBorders>
            <w:tcMar>
              <w:top w:type="dxa" w:w="140"/>
              <w:left w:type="dxa" w:w="180"/>
              <w:bottom w:type="dxa" w:w="140"/>
              <w:right w:type="dxa" w:w="180"/>
            </w:tcMar>
            <w:vAlign w:val="center"/>
          </w:tcPr>
          <w:p>
            <w:pPr>
              <w:spacing w:after="20" w:before="20"/>
              <w:jc w:val="left"/>
            </w:pPr>
            <w:r>
              <w:rPr>
                <w:rFonts w:ascii="Calibri" w:cs="Calibri" w:eastAsia="Calibri" w:hAnsi="Calibri"/>
                <w:b w:val="false"/>
                <w:bCs w:val="false"/>
                <w:color w:val="1F2937"/>
                <w:sz w:val="20"/>
                <w:szCs w:val="20"/>
              </w:rPr>
              <w:t xml:space="preserve">Italic emphasis, secondary headings, link hover states.</w:t>
            </w:r>
          </w:p>
        </w:tc>
        <w:tc>
          <w:tcPr>
            <w:tcW w:type="dxa" w:w="3120"/>
            <w:tcBorders>
              <w:top w:val="single" w:color="CBD5E1" w:sz="4"/>
              <w:left w:val="single" w:color="CBD5E1" w:sz="4"/>
              <w:bottom w:val="single" w:color="CBD5E1" w:sz="4"/>
              <w:right w:val="single" w:color="CBD5E1" w:sz="4"/>
            </w:tcBorders>
            <w:tcMar>
              <w:top w:type="dxa" w:w="140"/>
              <w:left w:type="dxa" w:w="180"/>
              <w:bottom w:type="dxa" w:w="140"/>
              <w:right w:type="dxa" w:w="180"/>
            </w:tcMar>
            <w:vAlign w:val="center"/>
          </w:tcPr>
          <w:p>
            <w:pPr>
              <w:spacing w:after="20" w:before="20"/>
              <w:jc w:val="left"/>
            </w:pPr>
            <w:r>
              <w:rPr>
                <w:rFonts w:ascii="Calibri" w:cs="Calibri" w:eastAsia="Calibri" w:hAnsi="Calibri"/>
                <w:b w:val="false"/>
                <w:bCs w:val="false"/>
                <w:color w:val="1F2937"/>
                <w:sz w:val="20"/>
                <w:szCs w:val="20"/>
              </w:rPr>
              <w:t xml:space="preserve">Light highlights, badges, accent backgrounds.</w:t>
            </w:r>
          </w:p>
        </w:tc>
        <w:tc>
          <w:tcPr>
            <w:tcW w:type="dxa" w:w="3120"/>
            <w:tcBorders>
              <w:top w:val="single" w:color="CBD5E1" w:sz="4"/>
              <w:left w:val="single" w:color="CBD5E1" w:sz="4"/>
              <w:bottom w:val="single" w:color="CBD5E1" w:sz="4"/>
              <w:right w:val="single" w:color="CBD5E1" w:sz="4"/>
            </w:tcBorders>
            <w:tcMar>
              <w:top w:type="dxa" w:w="140"/>
              <w:left w:type="dxa" w:w="180"/>
              <w:bottom w:type="dxa" w:w="140"/>
              <w:right w:type="dxa" w:w="180"/>
            </w:tcMar>
            <w:vAlign w:val="center"/>
          </w:tcPr>
          <w:p>
            <w:pPr>
              <w:spacing w:after="20" w:before="20"/>
              <w:jc w:val="left"/>
            </w:pPr>
            <w:r>
              <w:rPr>
                <w:rFonts w:ascii="Calibri" w:cs="Calibri" w:eastAsia="Calibri" w:hAnsi="Calibri"/>
                <w:b w:val="false"/>
                <w:bCs w:val="false"/>
                <w:color w:val="1F2937"/>
                <w:sz w:val="20"/>
                <w:szCs w:val="20"/>
              </w:rPr>
              <w:t xml:space="preserve">Page background tone. Softens whitespace without dulling it.</w:t>
            </w:r>
          </w:p>
        </w:tc>
      </w:tr>
    </w:tbl>
    <w:p>
      <w:pPr>
        <w:spacing w:after="100" w:before="100"/>
      </w:pPr>
      <w:r>
        <w:t xml:space="preserve"/>
      </w:r>
    </w:p>
    <w:p>
      <w:pPr>
        <w:pStyle w:val="Heading2"/>
        <w:pBdr>
          <w:bottom w:val="single" w:color="E8930E" w:sz="6" w:space="4"/>
        </w:pBdr>
        <w:spacing w:after="140" w:before="280"/>
      </w:pPr>
      <w:r>
        <w:rPr>
          <w:rFonts w:ascii="Calibri" w:cs="Calibri" w:eastAsia="Calibri" w:hAnsi="Calibri"/>
          <w:b/>
          <w:bCs/>
          <w:color w:val="0B1F4D"/>
          <w:sz w:val="30"/>
          <w:szCs w:val="30"/>
        </w:rPr>
        <w:t xml:space="preserve">Functional palette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1F2937" w:val="clear"/>
            <w:tcMar>
              <w:top w:type="dxa" w:w="500"/>
              <w:left w:type="dxa" w:w="180"/>
              <w:bottom w:type="dxa" w:w="500"/>
              <w:right w:type="dxa" w:w="180"/>
            </w:tcMar>
          </w:tcPr>
          <w:p>
            <w:r>
              <w:rPr>
                <w:sz w:val="24"/>
                <w:szCs w:val="24"/>
              </w:rPr>
              <w:t xml:space="preserve"/>
            </w:r>
          </w:p>
        </w:tc>
        <w:tc>
          <w:tcPr>
            <w:tcW w:type="dxa" w:w="2340"/>
            <w:tcBorders>
              <w:top w:val="none" w:color="FFFFFF" w:sz="0"/>
              <w:left w:val="none" w:color="FFFFFF" w:sz="0"/>
              <w:bottom w:val="none" w:color="FFFFFF" w:sz="0"/>
              <w:right w:val="none" w:color="FFFFFF" w:sz="0"/>
            </w:tcBorders>
            <w:shd w:fill="475569" w:val="clear"/>
            <w:tcMar>
              <w:top w:type="dxa" w:w="500"/>
              <w:left w:type="dxa" w:w="180"/>
              <w:bottom w:type="dxa" w:w="500"/>
              <w:right w:type="dxa" w:w="180"/>
            </w:tcMar>
          </w:tcPr>
          <w:p>
            <w:r>
              <w:rPr>
                <w:sz w:val="24"/>
                <w:szCs w:val="24"/>
              </w:rPr>
              <w:t xml:space="preserve"/>
            </w:r>
          </w:p>
        </w:tc>
        <w:tc>
          <w:tcPr>
            <w:tcW w:type="dxa" w:w="2340"/>
            <w:tcBorders>
              <w:top w:val="none" w:color="FFFFFF" w:sz="0"/>
              <w:left w:val="none" w:color="FFFFFF" w:sz="0"/>
              <w:bottom w:val="none" w:color="FFFFFF" w:sz="0"/>
              <w:right w:val="none" w:color="FFFFFF" w:sz="0"/>
            </w:tcBorders>
            <w:shd w:fill="F1F5F9" w:val="clear"/>
            <w:tcMar>
              <w:top w:type="dxa" w:w="500"/>
              <w:left w:type="dxa" w:w="180"/>
              <w:bottom w:type="dxa" w:w="500"/>
              <w:right w:type="dxa" w:w="180"/>
            </w:tcMar>
          </w:tcPr>
          <w:p>
            <w:r>
              <w:rPr>
                <w:sz w:val="24"/>
                <w:szCs w:val="24"/>
              </w:rPr>
              <w:t xml:space="preserve"/>
            </w:r>
          </w:p>
        </w:tc>
        <w:tc>
          <w:tcPr>
            <w:tcW w:type="dxa" w:w="2340"/>
            <w:tcBorders>
              <w:top w:val="none" w:color="FFFFFF" w:sz="0"/>
              <w:left w:val="none" w:color="FFFFFF" w:sz="0"/>
              <w:bottom w:val="none" w:color="FFFFFF" w:sz="0"/>
              <w:right w:val="none" w:color="FFFFFF" w:sz="0"/>
            </w:tcBorders>
            <w:shd w:fill="10B981" w:val="clear"/>
            <w:tcMar>
              <w:top w:type="dxa" w:w="500"/>
              <w:left w:type="dxa" w:w="180"/>
              <w:bottom w:type="dxa" w:w="500"/>
              <w:right w:type="dxa" w:w="180"/>
            </w:tcMar>
          </w:tcPr>
          <w:p>
            <w:r>
              <w:rPr>
                <w:sz w:val="24"/>
                <w:szCs w:val="24"/>
              </w:rPr>
              <w:t xml:space="preserve"/>
            </w:r>
          </w:p>
        </w:tc>
      </w:tr>
      <w:tr>
        <w:tc>
          <w:tcPr>
            <w:tcW w:type="dxa" w:w="2340"/>
            <w:tcBorders>
              <w:top w:val="single" w:color="CBD5E1" w:sz="4"/>
              <w:left w:val="single" w:color="CBD5E1" w:sz="4"/>
              <w:bottom w:val="single" w:color="CBD5E1" w:sz="4"/>
              <w:right w:val="single" w:color="CBD5E1" w:sz="4"/>
            </w:tcBorders>
            <w:shd w:fill="FFFFFF" w:val="clear"/>
            <w:tcMar>
              <w:top w:type="dxa" w:w="140"/>
              <w:left w:type="dxa" w:w="180"/>
              <w:bottom w:type="dxa" w:w="140"/>
              <w:right w:type="dxa" w:w="180"/>
            </w:tcMar>
            <w:vAlign w:val="center"/>
          </w:tcPr>
          <w:p>
            <w:pPr>
              <w:spacing w:after="20" w:before="20"/>
              <w:jc w:val="center"/>
            </w:pPr>
            <w:r>
              <w:rPr>
                <w:rFonts w:ascii="Calibri" w:cs="Calibri" w:eastAsia="Calibri" w:hAnsi="Calibri"/>
                <w:b/>
                <w:bCs/>
                <w:color w:val="1F2937"/>
                <w:sz w:val="18"/>
                <w:szCs w:val="18"/>
              </w:rPr>
              <w:t xml:space="preserve">Ink
#1F2937</w:t>
            </w:r>
          </w:p>
        </w:tc>
        <w:tc>
          <w:tcPr>
            <w:tcW w:type="dxa" w:w="2340"/>
            <w:tcBorders>
              <w:top w:val="single" w:color="CBD5E1" w:sz="4"/>
              <w:left w:val="single" w:color="CBD5E1" w:sz="4"/>
              <w:bottom w:val="single" w:color="CBD5E1" w:sz="4"/>
              <w:right w:val="single" w:color="CBD5E1" w:sz="4"/>
            </w:tcBorders>
            <w:shd w:fill="FFFFFF" w:val="clear"/>
            <w:tcMar>
              <w:top w:type="dxa" w:w="140"/>
              <w:left w:type="dxa" w:w="180"/>
              <w:bottom w:type="dxa" w:w="140"/>
              <w:right w:type="dxa" w:w="180"/>
            </w:tcMar>
            <w:vAlign w:val="center"/>
          </w:tcPr>
          <w:p>
            <w:pPr>
              <w:spacing w:after="20" w:before="20"/>
              <w:jc w:val="center"/>
            </w:pPr>
            <w:r>
              <w:rPr>
                <w:rFonts w:ascii="Calibri" w:cs="Calibri" w:eastAsia="Calibri" w:hAnsi="Calibri"/>
                <w:b/>
                <w:bCs/>
                <w:color w:val="475569"/>
                <w:sz w:val="18"/>
                <w:szCs w:val="18"/>
              </w:rPr>
              <w:t xml:space="preserve">Slate
#475569</w:t>
            </w:r>
          </w:p>
        </w:tc>
        <w:tc>
          <w:tcPr>
            <w:tcW w:type="dxa" w:w="2340"/>
            <w:tcBorders>
              <w:top w:val="single" w:color="CBD5E1" w:sz="4"/>
              <w:left w:val="single" w:color="CBD5E1" w:sz="4"/>
              <w:bottom w:val="single" w:color="CBD5E1" w:sz="4"/>
              <w:right w:val="single" w:color="CBD5E1" w:sz="4"/>
            </w:tcBorders>
            <w:shd w:fill="FFFFFF" w:val="clear"/>
            <w:tcMar>
              <w:top w:type="dxa" w:w="140"/>
              <w:left w:type="dxa" w:w="180"/>
              <w:bottom w:type="dxa" w:w="140"/>
              <w:right w:type="dxa" w:w="180"/>
            </w:tcMar>
            <w:vAlign w:val="center"/>
          </w:tcPr>
          <w:p>
            <w:pPr>
              <w:spacing w:after="20" w:before="20"/>
              <w:jc w:val="center"/>
            </w:pPr>
            <w:r>
              <w:rPr>
                <w:rFonts w:ascii="Calibri" w:cs="Calibri" w:eastAsia="Calibri" w:hAnsi="Calibri"/>
                <w:b/>
                <w:bCs/>
                <w:color w:val="1F2937"/>
                <w:sz w:val="18"/>
                <w:szCs w:val="18"/>
              </w:rPr>
              <w:t xml:space="preserve">Mist
#F1F5F9</w:t>
            </w:r>
          </w:p>
        </w:tc>
        <w:tc>
          <w:tcPr>
            <w:tcW w:type="dxa" w:w="2340"/>
            <w:tcBorders>
              <w:top w:val="single" w:color="CBD5E1" w:sz="4"/>
              <w:left w:val="single" w:color="CBD5E1" w:sz="4"/>
              <w:bottom w:val="single" w:color="CBD5E1" w:sz="4"/>
              <w:right w:val="single" w:color="CBD5E1" w:sz="4"/>
            </w:tcBorders>
            <w:shd w:fill="FFFFFF" w:val="clear"/>
            <w:tcMar>
              <w:top w:type="dxa" w:w="140"/>
              <w:left w:type="dxa" w:w="180"/>
              <w:bottom w:type="dxa" w:w="140"/>
              <w:right w:type="dxa" w:w="180"/>
            </w:tcMar>
            <w:vAlign w:val="center"/>
          </w:tcPr>
          <w:p>
            <w:pPr>
              <w:spacing w:after="20" w:before="20"/>
              <w:jc w:val="center"/>
            </w:pPr>
            <w:r>
              <w:rPr>
                <w:rFonts w:ascii="Calibri" w:cs="Calibri" w:eastAsia="Calibri" w:hAnsi="Calibri"/>
                <w:b/>
                <w:bCs/>
                <w:color w:val="10B981"/>
                <w:sz w:val="18"/>
                <w:szCs w:val="18"/>
              </w:rPr>
              <w:t xml:space="preserve">Verify Green
#10B981</w:t>
            </w:r>
          </w:p>
        </w:tc>
      </w:tr>
      <w:tr>
        <w:tc>
          <w:tcPr>
            <w:tcW w:type="dxa" w:w="2340"/>
            <w:tcBorders>
              <w:top w:val="single" w:color="CBD5E1" w:sz="4"/>
              <w:left w:val="single" w:color="CBD5E1" w:sz="4"/>
              <w:bottom w:val="single" w:color="CBD5E1" w:sz="4"/>
              <w:right w:val="single" w:color="CBD5E1" w:sz="4"/>
            </w:tcBorders>
            <w:tcMar>
              <w:top w:type="dxa" w:w="140"/>
              <w:left w:type="dxa" w:w="180"/>
              <w:bottom w:type="dxa" w:w="140"/>
              <w:right w:type="dxa" w:w="180"/>
            </w:tcMar>
            <w:vAlign w:val="center"/>
          </w:tcPr>
          <w:p>
            <w:pPr>
              <w:spacing w:after="20" w:before="20"/>
              <w:jc w:val="center"/>
            </w:pPr>
            <w:r>
              <w:rPr>
                <w:rFonts w:ascii="Calibri" w:cs="Calibri" w:eastAsia="Calibri" w:hAnsi="Calibri"/>
                <w:b w:val="false"/>
                <w:bCs w:val="false"/>
                <w:color w:val="1F2937"/>
                <w:sz w:val="18"/>
                <w:szCs w:val="18"/>
              </w:rPr>
              <w:t xml:space="preserve">Primary body text</w:t>
            </w:r>
          </w:p>
        </w:tc>
        <w:tc>
          <w:tcPr>
            <w:tcW w:type="dxa" w:w="2340"/>
            <w:tcBorders>
              <w:top w:val="single" w:color="CBD5E1" w:sz="4"/>
              <w:left w:val="single" w:color="CBD5E1" w:sz="4"/>
              <w:bottom w:val="single" w:color="CBD5E1" w:sz="4"/>
              <w:right w:val="single" w:color="CBD5E1" w:sz="4"/>
            </w:tcBorders>
            <w:tcMar>
              <w:top w:type="dxa" w:w="140"/>
              <w:left w:type="dxa" w:w="180"/>
              <w:bottom w:type="dxa" w:w="140"/>
              <w:right w:type="dxa" w:w="180"/>
            </w:tcMar>
            <w:vAlign w:val="center"/>
          </w:tcPr>
          <w:p>
            <w:pPr>
              <w:spacing w:after="20" w:before="20"/>
              <w:jc w:val="center"/>
            </w:pPr>
            <w:r>
              <w:rPr>
                <w:rFonts w:ascii="Calibri" w:cs="Calibri" w:eastAsia="Calibri" w:hAnsi="Calibri"/>
                <w:b w:val="false"/>
                <w:bCs w:val="false"/>
                <w:color w:val="1F2937"/>
                <w:sz w:val="18"/>
                <w:szCs w:val="18"/>
              </w:rPr>
              <w:t xml:space="preserve">Secondary text, captions</w:t>
            </w:r>
          </w:p>
        </w:tc>
        <w:tc>
          <w:tcPr>
            <w:tcW w:type="dxa" w:w="2340"/>
            <w:tcBorders>
              <w:top w:val="single" w:color="CBD5E1" w:sz="4"/>
              <w:left w:val="single" w:color="CBD5E1" w:sz="4"/>
              <w:bottom w:val="single" w:color="CBD5E1" w:sz="4"/>
              <w:right w:val="single" w:color="CBD5E1" w:sz="4"/>
            </w:tcBorders>
            <w:tcMar>
              <w:top w:type="dxa" w:w="140"/>
              <w:left w:type="dxa" w:w="180"/>
              <w:bottom w:type="dxa" w:w="140"/>
              <w:right w:type="dxa" w:w="180"/>
            </w:tcMar>
            <w:vAlign w:val="center"/>
          </w:tcPr>
          <w:p>
            <w:pPr>
              <w:spacing w:after="20" w:before="20"/>
              <w:jc w:val="center"/>
            </w:pPr>
            <w:r>
              <w:rPr>
                <w:rFonts w:ascii="Calibri" w:cs="Calibri" w:eastAsia="Calibri" w:hAnsi="Calibri"/>
                <w:b w:val="false"/>
                <w:bCs w:val="false"/>
                <w:color w:val="1F2937"/>
                <w:sz w:val="18"/>
                <w:szCs w:val="18"/>
              </w:rPr>
              <w:t xml:space="preserve">Section backgrounds, cards</w:t>
            </w:r>
          </w:p>
        </w:tc>
        <w:tc>
          <w:tcPr>
            <w:tcW w:type="dxa" w:w="2340"/>
            <w:tcBorders>
              <w:top w:val="single" w:color="CBD5E1" w:sz="4"/>
              <w:left w:val="single" w:color="CBD5E1" w:sz="4"/>
              <w:bottom w:val="single" w:color="CBD5E1" w:sz="4"/>
              <w:right w:val="single" w:color="CBD5E1" w:sz="4"/>
            </w:tcBorders>
            <w:tcMar>
              <w:top w:type="dxa" w:w="140"/>
              <w:left w:type="dxa" w:w="180"/>
              <w:bottom w:type="dxa" w:w="140"/>
              <w:right w:type="dxa" w:w="180"/>
            </w:tcMar>
            <w:vAlign w:val="center"/>
          </w:tcPr>
          <w:p>
            <w:pPr>
              <w:spacing w:after="20" w:before="20"/>
              <w:jc w:val="center"/>
            </w:pPr>
            <w:r>
              <w:rPr>
                <w:rFonts w:ascii="Calibri" w:cs="Calibri" w:eastAsia="Calibri" w:hAnsi="Calibri"/>
                <w:b w:val="false"/>
                <w:bCs w:val="false"/>
                <w:color w:val="1F2937"/>
                <w:sz w:val="18"/>
                <w:szCs w:val="18"/>
              </w:rPr>
              <w:t xml:space="preserve">Verified, success states</w:t>
            </w:r>
          </w:p>
        </w:tc>
      </w:tr>
    </w:tbl>
    <w:p>
      <w:pPr>
        <w:pStyle w:val="Heading2"/>
        <w:pBdr>
          <w:bottom w:val="single" w:color="E8930E" w:sz="6" w:space="4"/>
        </w:pBdr>
        <w:spacing w:after="140" w:before="280"/>
      </w:pPr>
      <w:r>
        <w:rPr>
          <w:rFonts w:ascii="Calibri" w:cs="Calibri" w:eastAsia="Calibri" w:hAnsi="Calibri"/>
          <w:b/>
          <w:bCs/>
          <w:color w:val="0B1F4D"/>
          <w:sz w:val="30"/>
          <w:szCs w:val="30"/>
        </w:rPr>
        <w:t xml:space="preserve">Colour ratio (60-30-10)</w:t>
      </w:r>
    </w:p>
    <w:p>
      <w:pPr>
        <w:pStyle w:val="ListParagraph"/>
        <w:numPr>
          <w:ilvl w:val="0"/>
          <w:numId w:val="2"/>
        </w:numPr>
        <w:spacing w:after="40" w:before="40" w:line="300"/>
      </w:pPr>
      <w:r>
        <w:rPr>
          <w:rFonts w:ascii="Calibri" w:cs="Calibri" w:eastAsia="Calibri" w:hAnsi="Calibri"/>
          <w:b/>
          <w:bCs/>
          <w:color w:val="0B1F4D"/>
          <w:sz w:val="22"/>
          <w:szCs w:val="22"/>
        </w:rPr>
        <w:t xml:space="preserve">60% — </w:t>
      </w:r>
      <w:r>
        <w:rPr>
          <w:rFonts w:ascii="Calibri" w:cs="Calibri" w:eastAsia="Calibri" w:hAnsi="Calibri"/>
          <w:color w:val="1F2937"/>
          <w:sz w:val="22"/>
          <w:szCs w:val="22"/>
        </w:rPr>
        <w:t xml:space="preserve">Whites, Cream, Mist. The breathing room. Education brands lose trust when crowded.</w:t>
      </w:r>
    </w:p>
    <w:p>
      <w:pPr>
        <w:pStyle w:val="ListParagraph"/>
        <w:numPr>
          <w:ilvl w:val="0"/>
          <w:numId w:val="2"/>
        </w:numPr>
        <w:spacing w:after="40" w:before="40" w:line="300"/>
      </w:pPr>
      <w:r>
        <w:rPr>
          <w:rFonts w:ascii="Calibri" w:cs="Calibri" w:eastAsia="Calibri" w:hAnsi="Calibri"/>
          <w:b/>
          <w:bCs/>
          <w:color w:val="0B1F4D"/>
          <w:sz w:val="22"/>
          <w:szCs w:val="22"/>
        </w:rPr>
        <w:t xml:space="preserve">30% — </w:t>
      </w:r>
      <w:r>
        <w:rPr>
          <w:rFonts w:ascii="Calibri" w:cs="Calibri" w:eastAsia="Calibri" w:hAnsi="Calibri"/>
          <w:color w:val="1F2937"/>
          <w:sz w:val="22"/>
          <w:szCs w:val="22"/>
        </w:rPr>
        <w:t xml:space="preserve">Navy and Counsel Blue. Headlines, navigation, primary copy, trust elements.</w:t>
      </w:r>
    </w:p>
    <w:p>
      <w:pPr>
        <w:pStyle w:val="ListParagraph"/>
        <w:numPr>
          <w:ilvl w:val="0"/>
          <w:numId w:val="2"/>
        </w:numPr>
        <w:spacing w:after="40" w:before="40" w:line="300"/>
      </w:pPr>
      <w:r>
        <w:rPr>
          <w:rFonts w:ascii="Calibri" w:cs="Calibri" w:eastAsia="Calibri" w:hAnsi="Calibri"/>
          <w:b/>
          <w:bCs/>
          <w:color w:val="0B1F4D"/>
          <w:sz w:val="22"/>
          <w:szCs w:val="22"/>
        </w:rPr>
        <w:t xml:space="preserve">10% — </w:t>
      </w:r>
      <w:r>
        <w:rPr>
          <w:rFonts w:ascii="Calibri" w:cs="Calibri" w:eastAsia="Calibri" w:hAnsi="Calibri"/>
          <w:color w:val="1F2937"/>
          <w:sz w:val="22"/>
          <w:szCs w:val="22"/>
        </w:rPr>
        <w:t xml:space="preserve">Saffron and Soft Gold. Reserved for CTAs, highlights, and what we want clicked.</w:t>
      </w:r>
    </w:p>
    <w:p>
      <w:pPr>
        <w:pStyle w:val="Heading1"/>
        <w:pageBreakBefore/>
        <w:spacing w:after="200" w:before="360"/>
      </w:pPr>
      <w:r>
        <w:rPr>
          <w:rFonts w:ascii="Calibri" w:cs="Calibri" w:eastAsia="Calibri" w:hAnsi="Calibri"/>
          <w:b/>
          <w:bCs/>
          <w:color w:val="0B1F4D"/>
          <w:sz w:val="44"/>
          <w:szCs w:val="44"/>
        </w:rPr>
        <w:t xml:space="preserve">08  Typography</w:t>
      </w:r>
    </w:p>
    <w:p>
      <w:pPr>
        <w:spacing w:after="80" w:before="80" w:line="300"/>
        <w:jc w:val="left"/>
      </w:pPr>
      <w:r>
        <w:rPr>
          <w:rFonts w:ascii="Calibri" w:cs="Calibri" w:eastAsia="Calibri" w:hAnsi="Calibri"/>
          <w:b w:val="false"/>
          <w:bCs w:val="false"/>
          <w:i w:val="false"/>
          <w:iCs w:val="false"/>
          <w:color w:val="1F2937"/>
          <w:sz w:val="22"/>
          <w:szCs w:val="22"/>
        </w:rPr>
        <w:t xml:space="preserve">Type is doing 80% of the design work on a content-heavy education website. The system below is built for web first, free for commercial use, and available on Google Fonts.</w:t>
      </w:r>
    </w:p>
    <w:p>
      <w:pPr>
        <w:pStyle w:val="Heading2"/>
        <w:pBdr>
          <w:bottom w:val="single" w:color="E8930E" w:sz="6" w:space="4"/>
        </w:pBdr>
        <w:spacing w:after="140" w:before="280"/>
      </w:pPr>
      <w:r>
        <w:rPr>
          <w:rFonts w:ascii="Calibri" w:cs="Calibri" w:eastAsia="Calibri" w:hAnsi="Calibri"/>
          <w:b/>
          <w:bCs/>
          <w:color w:val="0B1F4D"/>
          <w:sz w:val="30"/>
          <w:szCs w:val="30"/>
        </w:rPr>
        <w:t xml:space="preserve">Type families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120"/>
        <w:gridCol w:w="3900"/>
      </w:tblGrid>
      <w:tr>
        <w:tc>
          <w:tcPr>
            <w:tcW w:type="dxa" w:w="2340"/>
            <w:tcBorders>
              <w:top w:val="single" w:color="CBD5E1" w:sz="4"/>
              <w:left w:val="single" w:color="CBD5E1" w:sz="4"/>
              <w:bottom w:val="single" w:color="CBD5E1" w:sz="4"/>
              <w:right w:val="single" w:color="CBD5E1" w:sz="4"/>
            </w:tcBorders>
            <w:shd w:fill="0B1F4D" w:val="clear"/>
            <w:tcMar>
              <w:top w:type="dxa" w:w="140"/>
              <w:left w:type="dxa" w:w="180"/>
              <w:bottom w:type="dxa" w:w="140"/>
              <w:right w:type="dxa" w:w="180"/>
            </w:tcMar>
            <w:vAlign w:val="center"/>
          </w:tcPr>
          <w:p>
            <w:pPr>
              <w:spacing w:after="20" w:before="20"/>
              <w:jc w:val="left"/>
            </w:pPr>
            <w:r>
              <w:rPr>
                <w:rFonts w:ascii="Calibri" w:cs="Calibri" w:eastAsia="Calibri" w:hAnsi="Calibri"/>
                <w:b/>
                <w:bCs/>
                <w:color w:val="FFFFFF"/>
                <w:sz w:val="20"/>
                <w:szCs w:val="20"/>
              </w:rPr>
              <w:t xml:space="preserve">Role</w:t>
            </w:r>
          </w:p>
        </w:tc>
        <w:tc>
          <w:tcPr>
            <w:tcW w:type="dxa" w:w="3120"/>
            <w:tcBorders>
              <w:top w:val="single" w:color="CBD5E1" w:sz="4"/>
              <w:left w:val="single" w:color="CBD5E1" w:sz="4"/>
              <w:bottom w:val="single" w:color="CBD5E1" w:sz="4"/>
              <w:right w:val="single" w:color="CBD5E1" w:sz="4"/>
            </w:tcBorders>
            <w:shd w:fill="0B1F4D" w:val="clear"/>
            <w:tcMar>
              <w:top w:type="dxa" w:w="140"/>
              <w:left w:type="dxa" w:w="180"/>
              <w:bottom w:type="dxa" w:w="140"/>
              <w:right w:type="dxa" w:w="180"/>
            </w:tcMar>
            <w:vAlign w:val="center"/>
          </w:tcPr>
          <w:p>
            <w:pPr>
              <w:spacing w:after="20" w:before="20"/>
              <w:jc w:val="left"/>
            </w:pPr>
            <w:r>
              <w:rPr>
                <w:rFonts w:ascii="Calibri" w:cs="Calibri" w:eastAsia="Calibri" w:hAnsi="Calibri"/>
                <w:b/>
                <w:bCs/>
                <w:color w:val="FFFFFF"/>
                <w:sz w:val="20"/>
                <w:szCs w:val="20"/>
              </w:rPr>
              <w:t xml:space="preserve">Family</w:t>
            </w:r>
          </w:p>
        </w:tc>
        <w:tc>
          <w:tcPr>
            <w:tcW w:type="dxa" w:w="3900"/>
            <w:tcBorders>
              <w:top w:val="single" w:color="CBD5E1" w:sz="4"/>
              <w:left w:val="single" w:color="CBD5E1" w:sz="4"/>
              <w:bottom w:val="single" w:color="CBD5E1" w:sz="4"/>
              <w:right w:val="single" w:color="CBD5E1" w:sz="4"/>
            </w:tcBorders>
            <w:shd w:fill="0B1F4D" w:val="clear"/>
            <w:tcMar>
              <w:top w:type="dxa" w:w="140"/>
              <w:left w:type="dxa" w:w="180"/>
              <w:bottom w:type="dxa" w:w="140"/>
              <w:right w:type="dxa" w:w="180"/>
            </w:tcMar>
            <w:vAlign w:val="center"/>
          </w:tcPr>
          <w:p>
            <w:pPr>
              <w:spacing w:after="20" w:before="20"/>
              <w:jc w:val="left"/>
            </w:pPr>
            <w:r>
              <w:rPr>
                <w:rFonts w:ascii="Calibri" w:cs="Calibri" w:eastAsia="Calibri" w:hAnsi="Calibri"/>
                <w:b/>
                <w:bCs/>
                <w:color w:val="FFFFFF"/>
                <w:sz w:val="20"/>
                <w:szCs w:val="20"/>
              </w:rPr>
              <w:t xml:space="preserve">Why</w:t>
            </w:r>
          </w:p>
        </w:tc>
      </w:tr>
      <w:tr>
        <w:tc>
          <w:tcPr>
            <w:tcW w:type="dxa" w:w="2340"/>
            <w:tcBorders>
              <w:top w:val="single" w:color="CBD5E1" w:sz="4"/>
              <w:left w:val="single" w:color="CBD5E1" w:sz="4"/>
              <w:bottom w:val="single" w:color="CBD5E1" w:sz="4"/>
              <w:right w:val="single" w:color="CBD5E1" w:sz="4"/>
            </w:tcBorders>
            <w:shd w:fill="F1F5F9" w:val="clear"/>
            <w:tcMar>
              <w:top w:type="dxa" w:w="140"/>
              <w:left w:type="dxa" w:w="180"/>
              <w:bottom w:type="dxa" w:w="140"/>
              <w:right w:type="dxa" w:w="180"/>
            </w:tcMar>
            <w:vAlign w:val="center"/>
          </w:tcPr>
          <w:p>
            <w:pPr>
              <w:spacing w:after="20" w:before="20"/>
              <w:jc w:val="left"/>
            </w:pPr>
            <w:r>
              <w:rPr>
                <w:rFonts w:ascii="Calibri" w:cs="Calibri" w:eastAsia="Calibri" w:hAnsi="Calibri"/>
                <w:b/>
                <w:bCs/>
                <w:color w:val="1F2937"/>
                <w:sz w:val="20"/>
                <w:szCs w:val="20"/>
              </w:rPr>
              <w:t xml:space="preserve">Display &amp; Headings</w:t>
            </w:r>
          </w:p>
        </w:tc>
        <w:tc>
          <w:tcPr>
            <w:tcW w:type="dxa" w:w="3120"/>
            <w:tcBorders>
              <w:top w:val="single" w:color="CBD5E1" w:sz="4"/>
              <w:left w:val="single" w:color="CBD5E1" w:sz="4"/>
              <w:bottom w:val="single" w:color="CBD5E1" w:sz="4"/>
              <w:right w:val="single" w:color="CBD5E1" w:sz="4"/>
            </w:tcBorders>
            <w:tcMar>
              <w:top w:type="dxa" w:w="140"/>
              <w:left w:type="dxa" w:w="180"/>
              <w:bottom w:type="dxa" w:w="140"/>
              <w:right w:type="dxa" w:w="180"/>
            </w:tcMar>
            <w:vAlign w:val="center"/>
          </w:tcPr>
          <w:p>
            <w:pPr>
              <w:spacing w:after="20" w:before="20"/>
              <w:jc w:val="left"/>
            </w:pPr>
            <w:r>
              <w:rPr>
                <w:rFonts w:ascii="Calibri" w:cs="Calibri" w:eastAsia="Calibri" w:hAnsi="Calibri"/>
                <w:b/>
                <w:bCs/>
                <w:color w:val="0B1F4D"/>
                <w:sz w:val="20"/>
                <w:szCs w:val="20"/>
              </w:rPr>
              <w:t xml:space="preserve">Poppins (500, 600, 700)</w:t>
            </w:r>
          </w:p>
        </w:tc>
        <w:tc>
          <w:tcPr>
            <w:tcW w:type="dxa" w:w="3900"/>
            <w:tcBorders>
              <w:top w:val="single" w:color="CBD5E1" w:sz="4"/>
              <w:left w:val="single" w:color="CBD5E1" w:sz="4"/>
              <w:bottom w:val="single" w:color="CBD5E1" w:sz="4"/>
              <w:right w:val="single" w:color="CBD5E1" w:sz="4"/>
            </w:tcBorders>
            <w:tcMar>
              <w:top w:type="dxa" w:w="140"/>
              <w:left w:type="dxa" w:w="180"/>
              <w:bottom w:type="dxa" w:w="140"/>
              <w:right w:type="dxa" w:w="180"/>
            </w:tcMar>
            <w:vAlign w:val="center"/>
          </w:tcPr>
          <w:p>
            <w:pPr>
              <w:spacing w:after="20" w:before="20"/>
              <w:jc w:val="left"/>
            </w:pPr>
            <w:r>
              <w:rPr>
                <w:rFonts w:ascii="Calibri" w:cs="Calibri" w:eastAsia="Calibri" w:hAnsi="Calibri"/>
                <w:b w:val="false"/>
                <w:bCs w:val="false"/>
                <w:color w:val="1F2937"/>
                <w:sz w:val="20"/>
                <w:szCs w:val="20"/>
              </w:rPr>
              <w:t xml:space="preserve">Geometric, modern, professional. Used in the logo wordmark. Trusted by Indian education brands.</w:t>
            </w:r>
          </w:p>
        </w:tc>
      </w:tr>
      <w:tr>
        <w:tc>
          <w:tcPr>
            <w:tcW w:type="dxa" w:w="2340"/>
            <w:tcBorders>
              <w:top w:val="single" w:color="CBD5E1" w:sz="4"/>
              <w:left w:val="single" w:color="CBD5E1" w:sz="4"/>
              <w:bottom w:val="single" w:color="CBD5E1" w:sz="4"/>
              <w:right w:val="single" w:color="CBD5E1" w:sz="4"/>
            </w:tcBorders>
            <w:shd w:fill="F1F5F9" w:val="clear"/>
            <w:tcMar>
              <w:top w:type="dxa" w:w="140"/>
              <w:left w:type="dxa" w:w="180"/>
              <w:bottom w:type="dxa" w:w="140"/>
              <w:right w:type="dxa" w:w="180"/>
            </w:tcMar>
            <w:vAlign w:val="center"/>
          </w:tcPr>
          <w:p>
            <w:pPr>
              <w:spacing w:after="20" w:before="20"/>
              <w:jc w:val="left"/>
            </w:pPr>
            <w:r>
              <w:rPr>
                <w:rFonts w:ascii="Calibri" w:cs="Calibri" w:eastAsia="Calibri" w:hAnsi="Calibri"/>
                <w:b/>
                <w:bCs/>
                <w:color w:val="1F2937"/>
                <w:sz w:val="20"/>
                <w:szCs w:val="20"/>
              </w:rPr>
              <w:t xml:space="preserve">Body</w:t>
            </w:r>
          </w:p>
        </w:tc>
        <w:tc>
          <w:tcPr>
            <w:tcW w:type="dxa" w:w="3120"/>
            <w:tcBorders>
              <w:top w:val="single" w:color="CBD5E1" w:sz="4"/>
              <w:left w:val="single" w:color="CBD5E1" w:sz="4"/>
              <w:bottom w:val="single" w:color="CBD5E1" w:sz="4"/>
              <w:right w:val="single" w:color="CBD5E1" w:sz="4"/>
            </w:tcBorders>
            <w:tcMar>
              <w:top w:type="dxa" w:w="140"/>
              <w:left w:type="dxa" w:w="180"/>
              <w:bottom w:type="dxa" w:w="140"/>
              <w:right w:type="dxa" w:w="180"/>
            </w:tcMar>
            <w:vAlign w:val="center"/>
          </w:tcPr>
          <w:p>
            <w:pPr>
              <w:spacing w:after="20" w:before="20"/>
              <w:jc w:val="left"/>
            </w:pPr>
            <w:r>
              <w:rPr>
                <w:rFonts w:ascii="Calibri" w:cs="Calibri" w:eastAsia="Calibri" w:hAnsi="Calibri"/>
                <w:b/>
                <w:bCs/>
                <w:color w:val="0B1F4D"/>
                <w:sz w:val="20"/>
                <w:szCs w:val="20"/>
              </w:rPr>
              <w:t xml:space="preserve">Inter (400, 500, 600)</w:t>
            </w:r>
          </w:p>
        </w:tc>
        <w:tc>
          <w:tcPr>
            <w:tcW w:type="dxa" w:w="3900"/>
            <w:tcBorders>
              <w:top w:val="single" w:color="CBD5E1" w:sz="4"/>
              <w:left w:val="single" w:color="CBD5E1" w:sz="4"/>
              <w:bottom w:val="single" w:color="CBD5E1" w:sz="4"/>
              <w:right w:val="single" w:color="CBD5E1" w:sz="4"/>
            </w:tcBorders>
            <w:tcMar>
              <w:top w:type="dxa" w:w="140"/>
              <w:left w:type="dxa" w:w="180"/>
              <w:bottom w:type="dxa" w:w="140"/>
              <w:right w:type="dxa" w:w="180"/>
            </w:tcMar>
            <w:vAlign w:val="center"/>
          </w:tcPr>
          <w:p>
            <w:pPr>
              <w:spacing w:after="20" w:before="20"/>
              <w:jc w:val="left"/>
            </w:pPr>
            <w:r>
              <w:rPr>
                <w:rFonts w:ascii="Calibri" w:cs="Calibri" w:eastAsia="Calibri" w:hAnsi="Calibri"/>
                <w:b w:val="false"/>
                <w:bCs w:val="false"/>
                <w:color w:val="1F2937"/>
                <w:sz w:val="20"/>
                <w:szCs w:val="20"/>
              </w:rPr>
              <w:t xml:space="preserve">Designed for screen legibility. Excellent at small body sizes.</w:t>
            </w:r>
          </w:p>
        </w:tc>
      </w:tr>
      <w:tr>
        <w:tc>
          <w:tcPr>
            <w:tcW w:type="dxa" w:w="2340"/>
            <w:tcBorders>
              <w:top w:val="single" w:color="CBD5E1" w:sz="4"/>
              <w:left w:val="single" w:color="CBD5E1" w:sz="4"/>
              <w:bottom w:val="single" w:color="CBD5E1" w:sz="4"/>
              <w:right w:val="single" w:color="CBD5E1" w:sz="4"/>
            </w:tcBorders>
            <w:shd w:fill="F1F5F9" w:val="clear"/>
            <w:tcMar>
              <w:top w:type="dxa" w:w="140"/>
              <w:left w:type="dxa" w:w="180"/>
              <w:bottom w:type="dxa" w:w="140"/>
              <w:right w:type="dxa" w:w="180"/>
            </w:tcMar>
            <w:vAlign w:val="center"/>
          </w:tcPr>
          <w:p>
            <w:pPr>
              <w:spacing w:after="20" w:before="20"/>
              <w:jc w:val="left"/>
            </w:pPr>
            <w:r>
              <w:rPr>
                <w:rFonts w:ascii="Calibri" w:cs="Calibri" w:eastAsia="Calibri" w:hAnsi="Calibri"/>
                <w:b/>
                <w:bCs/>
                <w:color w:val="1F2937"/>
                <w:sz w:val="20"/>
                <w:szCs w:val="20"/>
              </w:rPr>
              <w:t xml:space="preserve">Voice &amp; emphasis</w:t>
            </w:r>
          </w:p>
        </w:tc>
        <w:tc>
          <w:tcPr>
            <w:tcW w:type="dxa" w:w="3120"/>
            <w:tcBorders>
              <w:top w:val="single" w:color="CBD5E1" w:sz="4"/>
              <w:left w:val="single" w:color="CBD5E1" w:sz="4"/>
              <w:bottom w:val="single" w:color="CBD5E1" w:sz="4"/>
              <w:right w:val="single" w:color="CBD5E1" w:sz="4"/>
            </w:tcBorders>
            <w:tcMar>
              <w:top w:type="dxa" w:w="140"/>
              <w:left w:type="dxa" w:w="180"/>
              <w:bottom w:type="dxa" w:w="140"/>
              <w:right w:type="dxa" w:w="180"/>
            </w:tcMar>
            <w:vAlign w:val="center"/>
          </w:tcPr>
          <w:p>
            <w:pPr>
              <w:spacing w:after="20" w:before="20"/>
              <w:jc w:val="left"/>
            </w:pPr>
            <w:r>
              <w:rPr>
                <w:rFonts w:ascii="Calibri" w:cs="Calibri" w:eastAsia="Calibri" w:hAnsi="Calibri"/>
                <w:b/>
                <w:bCs/>
                <w:color w:val="0B1F4D"/>
                <w:sz w:val="20"/>
                <w:szCs w:val="20"/>
              </w:rPr>
              <w:t xml:space="preserve">Lora (400 italic, 500 italic)</w:t>
            </w:r>
          </w:p>
        </w:tc>
        <w:tc>
          <w:tcPr>
            <w:tcW w:type="dxa" w:w="3900"/>
            <w:tcBorders>
              <w:top w:val="single" w:color="CBD5E1" w:sz="4"/>
              <w:left w:val="single" w:color="CBD5E1" w:sz="4"/>
              <w:bottom w:val="single" w:color="CBD5E1" w:sz="4"/>
              <w:right w:val="single" w:color="CBD5E1" w:sz="4"/>
            </w:tcBorders>
            <w:tcMar>
              <w:top w:type="dxa" w:w="140"/>
              <w:left w:type="dxa" w:w="180"/>
              <w:bottom w:type="dxa" w:w="140"/>
              <w:right w:type="dxa" w:w="180"/>
            </w:tcMar>
            <w:vAlign w:val="center"/>
          </w:tcPr>
          <w:p>
            <w:pPr>
              <w:spacing w:after="20" w:before="20"/>
              <w:jc w:val="left"/>
            </w:pPr>
            <w:r>
              <w:rPr>
                <w:rFonts w:ascii="Calibri" w:cs="Calibri" w:eastAsia="Calibri" w:hAnsi="Calibri"/>
                <w:b w:val="false"/>
                <w:bCs w:val="false"/>
                <w:color w:val="1F2937"/>
                <w:sz w:val="20"/>
                <w:szCs w:val="20"/>
              </w:rPr>
              <w:t xml:space="preserve">A measured serif for the human-voice moments in headlines, testimonials, and counsellor quotes. The italic Lora inside a Poppins headline is the typographic signature of the brand.</w:t>
            </w:r>
          </w:p>
        </w:tc>
      </w:tr>
    </w:tbl>
    <w:p>
      <w:pPr>
        <w:pStyle w:val="Heading2"/>
        <w:pBdr>
          <w:bottom w:val="single" w:color="E8930E" w:sz="6" w:space="4"/>
        </w:pBdr>
        <w:spacing w:after="140" w:before="280"/>
      </w:pPr>
      <w:r>
        <w:rPr>
          <w:rFonts w:ascii="Calibri" w:cs="Calibri" w:eastAsia="Calibri" w:hAnsi="Calibri"/>
          <w:b/>
          <w:bCs/>
          <w:color w:val="0B1F4D"/>
          <w:sz w:val="30"/>
          <w:szCs w:val="30"/>
        </w:rPr>
        <w:t xml:space="preserve">Typographic rules</w:t>
      </w:r>
    </w:p>
    <w:p>
      <w:pPr>
        <w:pStyle w:val="ListParagraph"/>
        <w:numPr>
          <w:ilvl w:val="0"/>
          <w:numId w:val="2"/>
        </w:numPr>
        <w:spacing w:after="40" w:before="40" w:line="300"/>
      </w:pPr>
      <w:r>
        <w:rPr>
          <w:rFonts w:ascii="Calibri" w:cs="Calibri" w:eastAsia="Calibri" w:hAnsi="Calibri"/>
          <w:b/>
          <w:bCs/>
          <w:color w:val="0B1F4D"/>
          <w:sz w:val="22"/>
          <w:szCs w:val="22"/>
        </w:rPr>
        <w:t xml:space="preserve">The italic signature. </w:t>
      </w:r>
      <w:r>
        <w:rPr>
          <w:rFonts w:ascii="Calibri" w:cs="Calibri" w:eastAsia="Calibri" w:hAnsi="Calibri"/>
          <w:color w:val="1F2937"/>
          <w:sz w:val="22"/>
          <w:szCs w:val="22"/>
        </w:rPr>
        <w:t xml:space="preserve">Lora italic appears inside Poppins headlines for the human-voice phrase, sparingly. Two to four words per headline, no more. This is the brand's typographic fingerprint.</w:t>
      </w:r>
    </w:p>
    <w:p>
      <w:pPr>
        <w:pStyle w:val="ListParagraph"/>
        <w:numPr>
          <w:ilvl w:val="0"/>
          <w:numId w:val="2"/>
        </w:numPr>
        <w:spacing w:after="40" w:before="40" w:line="300"/>
      </w:pPr>
      <w:r>
        <w:rPr>
          <w:rFonts w:ascii="Calibri" w:cs="Calibri" w:eastAsia="Calibri" w:hAnsi="Calibri"/>
          <w:b/>
          <w:bCs/>
          <w:color w:val="0B1F4D"/>
          <w:sz w:val="22"/>
          <w:szCs w:val="22"/>
        </w:rPr>
        <w:t xml:space="preserve">Body line length: </w:t>
      </w:r>
      <w:r>
        <w:rPr>
          <w:rFonts w:ascii="Calibri" w:cs="Calibri" w:eastAsia="Calibri" w:hAnsi="Calibri"/>
          <w:color w:val="1F2937"/>
          <w:sz w:val="22"/>
          <w:szCs w:val="22"/>
        </w:rPr>
        <w:t xml:space="preserve">60 to 75 characters per line. Anything longer fatigues readers.</w:t>
      </w:r>
    </w:p>
    <w:p>
      <w:pPr>
        <w:pStyle w:val="ListParagraph"/>
        <w:numPr>
          <w:ilvl w:val="0"/>
          <w:numId w:val="2"/>
        </w:numPr>
        <w:spacing w:after="40" w:before="40" w:line="300"/>
      </w:pPr>
      <w:r>
        <w:rPr>
          <w:rFonts w:ascii="Calibri" w:cs="Calibri" w:eastAsia="Calibri" w:hAnsi="Calibri"/>
          <w:b/>
          <w:bCs/>
          <w:color w:val="0B1F4D"/>
          <w:sz w:val="22"/>
          <w:szCs w:val="22"/>
        </w:rPr>
        <w:t xml:space="preserve">Hierarchy gap: </w:t>
      </w:r>
      <w:r>
        <w:rPr>
          <w:rFonts w:ascii="Calibri" w:cs="Calibri" w:eastAsia="Calibri" w:hAnsi="Calibri"/>
          <w:color w:val="1F2937"/>
          <w:sz w:val="22"/>
          <w:szCs w:val="22"/>
        </w:rPr>
        <w:t xml:space="preserve">Each heading level at least 25% smaller than the one above.</w:t>
      </w:r>
    </w:p>
    <w:p>
      <w:pPr>
        <w:pStyle w:val="ListParagraph"/>
        <w:numPr>
          <w:ilvl w:val="0"/>
          <w:numId w:val="2"/>
        </w:numPr>
        <w:spacing w:after="40" w:before="40" w:line="300"/>
      </w:pPr>
      <w:r>
        <w:rPr>
          <w:rFonts w:ascii="Calibri" w:cs="Calibri" w:eastAsia="Calibri" w:hAnsi="Calibri"/>
          <w:b/>
          <w:bCs/>
          <w:color w:val="0B1F4D"/>
          <w:sz w:val="22"/>
          <w:szCs w:val="22"/>
        </w:rPr>
        <w:t xml:space="preserve">Numerals: </w:t>
      </w:r>
      <w:r>
        <w:rPr>
          <w:rFonts w:ascii="Calibri" w:cs="Calibri" w:eastAsia="Calibri" w:hAnsi="Calibri"/>
          <w:color w:val="1F2937"/>
          <w:sz w:val="22"/>
          <w:szCs w:val="22"/>
        </w:rPr>
        <w:t xml:space="preserve">Tabular figures for prices, fees, and dates so they align in columns. Inter supports this natively.</w:t>
      </w:r>
    </w:p>
    <w:p>
      <w:pPr>
        <w:pStyle w:val="Heading1"/>
        <w:pageBreakBefore/>
        <w:spacing w:after="200" w:before="360"/>
      </w:pPr>
      <w:r>
        <w:rPr>
          <w:rFonts w:ascii="Calibri" w:cs="Calibri" w:eastAsia="Calibri" w:hAnsi="Calibri"/>
          <w:b/>
          <w:bCs/>
          <w:color w:val="0B1F4D"/>
          <w:sz w:val="44"/>
          <w:szCs w:val="44"/>
        </w:rPr>
        <w:t xml:space="preserve">09  Brand Elements</w:t>
      </w:r>
    </w:p>
    <w:p>
      <w:pPr>
        <w:spacing w:after="80" w:before="80" w:line="300"/>
        <w:jc w:val="left"/>
      </w:pPr>
      <w:r>
        <w:rPr>
          <w:rFonts w:ascii="Calibri" w:cs="Calibri" w:eastAsia="Calibri" w:hAnsi="Calibri"/>
          <w:b w:val="false"/>
          <w:bCs w:val="false"/>
          <w:i w:val="false"/>
          <w:iCs w:val="false"/>
          <w:color w:val="1F2937"/>
          <w:sz w:val="22"/>
          <w:szCs w:val="22"/>
        </w:rPr>
        <w:t xml:space="preserve">Beyond the logo, three brand elements form the visual system. They appear in supporting roles, never overpowering the logo or copy, and they give the brand a consistent visual texture across surfaces.</w:t>
      </w:r>
    </w:p>
    <w:p>
      <w:pPr>
        <w:pStyle w:val="Heading2"/>
        <w:pBdr>
          <w:bottom w:val="single" w:color="E8930E" w:sz="6" w:space="4"/>
        </w:pBdr>
        <w:spacing w:after="140" w:before="280"/>
      </w:pPr>
      <w:r>
        <w:rPr>
          <w:rFonts w:ascii="Calibri" w:cs="Calibri" w:eastAsia="Calibri" w:hAnsi="Calibri"/>
          <w:b/>
          <w:bCs/>
          <w:color w:val="0B1F4D"/>
          <w:sz w:val="30"/>
          <w:szCs w:val="30"/>
        </w:rPr>
        <w:t xml:space="preserve">The house pattern</w:t>
      </w:r>
    </w:p>
    <w:p>
      <w:pPr>
        <w:spacing w:after="120" w:before="120"/>
        <w:jc w:val="center"/>
      </w:pPr>
      <w:r>
        <w:drawing>
          <wp:inline distT="0" distB="0" distL="0" distR="0">
            <wp:extent cx="5143500"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143500" cy="2571750"/>
                    </a:xfrm>
                    <a:prstGeom prst="rect">
                      <a:avLst/>
                    </a:prstGeom>
                  </pic:spPr>
                </pic:pic>
              </a:graphicData>
            </a:graphic>
          </wp:inline>
        </w:drawing>
      </w:r>
    </w:p>
    <w:p>
      <w:pPr>
        <w:spacing w:after="80" w:before="80" w:line="300"/>
        <w:jc w:val="left"/>
      </w:pPr>
      <w:r>
        <w:rPr>
          <w:rFonts w:ascii="Calibri" w:cs="Calibri" w:eastAsia="Calibri" w:hAnsi="Calibri"/>
          <w:b w:val="false"/>
          <w:bCs w:val="false"/>
          <w:i w:val="false"/>
          <w:iCs w:val="false"/>
          <w:color w:val="475569"/>
          <w:sz w:val="20"/>
          <w:szCs w:val="20"/>
        </w:rPr>
        <w:t xml:space="preserve">A subtle repeating motif using the icon's house and arc, in Navy at 12% opacity over Cream. Use as a watermark background on certificate templates, partnership letters, and case-study PDFs. Never use on the website hero or any copy-dense surface, the pattern is for ceremonial or document contexts only.</w:t>
      </w:r>
    </w:p>
    <w:p>
      <w:pPr>
        <w:pStyle w:val="Heading2"/>
        <w:pBdr>
          <w:bottom w:val="single" w:color="E8930E" w:sz="6" w:space="4"/>
        </w:pBdr>
        <w:spacing w:after="140" w:before="280"/>
      </w:pPr>
      <w:r>
        <w:rPr>
          <w:rFonts w:ascii="Calibri" w:cs="Calibri" w:eastAsia="Calibri" w:hAnsi="Calibri"/>
          <w:b/>
          <w:bCs/>
          <w:color w:val="0B1F4D"/>
          <w:sz w:val="30"/>
          <w:szCs w:val="30"/>
        </w:rPr>
        <w:t xml:space="preserve">The verified trust seal</w:t>
      </w:r>
    </w:p>
    <w:p>
      <w:pPr>
        <w:spacing w:after="120" w:before="120"/>
        <w:jc w:val="center"/>
      </w:pPr>
      <w:r>
        <w:drawing>
          <wp:inline distT="0" distB="0" distL="0" distR="0">
            <wp:extent cx="19050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1905000" cy="1905000"/>
                    </a:xfrm>
                    <a:prstGeom prst="rect">
                      <a:avLst/>
                    </a:prstGeom>
                  </pic:spPr>
                </pic:pic>
              </a:graphicData>
            </a:graphic>
          </wp:inline>
        </w:drawing>
      </w:r>
    </w:p>
    <w:p>
      <w:pPr>
        <w:spacing w:after="80" w:before="80" w:line="300"/>
        <w:jc w:val="left"/>
      </w:pPr>
      <w:r>
        <w:rPr>
          <w:rFonts w:ascii="Calibri" w:cs="Calibri" w:eastAsia="Calibri" w:hAnsi="Calibri"/>
          <w:b w:val="false"/>
          <w:bCs w:val="false"/>
          <w:i w:val="false"/>
          <w:iCs w:val="false"/>
          <w:color w:val="475569"/>
          <w:sz w:val="20"/>
          <w:szCs w:val="20"/>
        </w:rPr>
        <w:t xml:space="preserve">A circular stamp containing the icon, used to mark verified partner programmes, accreditation callouts, and counsellor sign-offs. The seal can be customised with the verification text in the inner ring (“UGC-DEB Verified”, “Counsellor Approved”, “DMC Advisory”). Use sparingly, the seal loses meaning when overused.</w:t>
      </w:r>
    </w:p>
    <w:p>
      <w:pPr>
        <w:pStyle w:val="Heading2"/>
        <w:pBdr>
          <w:bottom w:val="single" w:color="E8930E" w:sz="6" w:space="4"/>
        </w:pBdr>
        <w:spacing w:after="140" w:before="280"/>
      </w:pPr>
      <w:r>
        <w:rPr>
          <w:rFonts w:ascii="Calibri" w:cs="Calibri" w:eastAsia="Calibri" w:hAnsi="Calibri"/>
          <w:b/>
          <w:bCs/>
          <w:color w:val="0B1F4D"/>
          <w:sz w:val="30"/>
          <w:szCs w:val="30"/>
        </w:rPr>
        <w:t xml:space="preserve">The section divider</w:t>
      </w:r>
    </w:p>
    <w:p>
      <w:pPr>
        <w:spacing w:after="120" w:before="120"/>
        <w:jc w:val="center"/>
      </w:pPr>
      <w:r>
        <w:drawing>
          <wp:inline distT="0" distB="0" distL="0" distR="0">
            <wp:extent cx="3048000" cy="304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3048000" cy="304800"/>
                    </a:xfrm>
                    <a:prstGeom prst="rect">
                      <a:avLst/>
                    </a:prstGeom>
                  </pic:spPr>
                </pic:pic>
              </a:graphicData>
            </a:graphic>
          </wp:inline>
        </w:drawing>
      </w:r>
    </w:p>
    <w:p>
      <w:pPr>
        <w:spacing w:after="80" w:before="80" w:line="300"/>
        <w:jc w:val="left"/>
      </w:pPr>
      <w:r>
        <w:rPr>
          <w:rFonts w:ascii="Calibri" w:cs="Calibri" w:eastAsia="Calibri" w:hAnsi="Calibri"/>
          <w:b w:val="false"/>
          <w:bCs w:val="false"/>
          <w:i w:val="false"/>
          <w:iCs w:val="false"/>
          <w:color w:val="475569"/>
          <w:sz w:val="20"/>
          <w:szCs w:val="20"/>
        </w:rPr>
        <w:t xml:space="preserve">Two hairline rules flanking the icon, used to separate major sections in long-form documents and the printed one-pager. On the website, prefer simple horizontal hairlines without the icon to keep the rhythm calm.</w:t>
      </w:r>
    </w:p>
    <w:p>
      <w:pPr>
        <w:pStyle w:val="Heading1"/>
        <w:pageBreakBefore/>
        <w:spacing w:after="200" w:before="360"/>
      </w:pPr>
      <w:r>
        <w:rPr>
          <w:rFonts w:ascii="Calibri" w:cs="Calibri" w:eastAsia="Calibri" w:hAnsi="Calibri"/>
          <w:b/>
          <w:bCs/>
          <w:color w:val="0B1F4D"/>
          <w:sz w:val="44"/>
          <w:szCs w:val="44"/>
        </w:rPr>
        <w:t xml:space="preserve">10  Application — Website</w:t>
      </w:r>
    </w:p>
    <w:p>
      <w:pPr>
        <w:spacing w:after="80" w:before="80" w:line="300"/>
        <w:jc w:val="left"/>
      </w:pPr>
      <w:r>
        <w:rPr>
          <w:rFonts w:ascii="Calibri" w:cs="Calibri" w:eastAsia="Calibri" w:hAnsi="Calibri"/>
          <w:b w:val="false"/>
          <w:bCs w:val="false"/>
          <w:i w:val="false"/>
          <w:iCs w:val="false"/>
          <w:color w:val="1F2937"/>
          <w:sz w:val="22"/>
          <w:szCs w:val="22"/>
        </w:rPr>
        <w:t xml:space="preserve">The website is the primary lead engine, around 100 qualified enquiries per day. The application example below shows how the brand system manifests on the homepage hero, the most consequential surface in the business.</w:t>
      </w:r>
    </w:p>
    <w:p>
      <w:pPr>
        <w:pStyle w:val="Heading2"/>
        <w:pBdr>
          <w:bottom w:val="single" w:color="E8930E" w:sz="6" w:space="4"/>
        </w:pBdr>
        <w:spacing w:after="140" w:before="280"/>
      </w:pPr>
      <w:r>
        <w:rPr>
          <w:rFonts w:ascii="Calibri" w:cs="Calibri" w:eastAsia="Calibri" w:hAnsi="Calibri"/>
          <w:b/>
          <w:bCs/>
          <w:color w:val="0B1F4D"/>
          <w:sz w:val="30"/>
          <w:szCs w:val="30"/>
        </w:rPr>
        <w:t xml:space="preserve">Homepage hero</w:t>
      </w:r>
    </w:p>
    <w:p>
      <w:pPr>
        <w:spacing w:after="120" w:before="120"/>
        <w:jc w:val="center"/>
      </w:pPr>
      <w:r>
        <w:drawing>
          <wp:inline distT="0" distB="0" distL="0" distR="0">
            <wp:extent cx="5715000" cy="4114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715000" cy="4114800"/>
                    </a:xfrm>
                    <a:prstGeom prst="rect">
                      <a:avLst/>
                    </a:prstGeom>
                  </pic:spPr>
                </pic:pic>
              </a:graphicData>
            </a:graphic>
          </wp:inline>
        </w:drawing>
      </w:r>
    </w:p>
    <w:p>
      <w:pPr>
        <w:pStyle w:val="Heading2"/>
        <w:pBdr>
          <w:bottom w:val="single" w:color="E8930E" w:sz="6" w:space="4"/>
        </w:pBdr>
        <w:spacing w:after="140" w:before="280"/>
      </w:pPr>
      <w:r>
        <w:rPr>
          <w:rFonts w:ascii="Calibri" w:cs="Calibri" w:eastAsia="Calibri" w:hAnsi="Calibri"/>
          <w:b/>
          <w:bCs/>
          <w:color w:val="0B1F4D"/>
          <w:sz w:val="30"/>
          <w:szCs w:val="30"/>
        </w:rPr>
        <w:t xml:space="preserve">What is happening here</w:t>
      </w:r>
    </w:p>
    <w:p>
      <w:pPr>
        <w:pStyle w:val="ListParagraph"/>
        <w:numPr>
          <w:ilvl w:val="0"/>
          <w:numId w:val="2"/>
        </w:numPr>
        <w:spacing w:after="40" w:before="40" w:line="300"/>
      </w:pPr>
      <w:r>
        <w:rPr>
          <w:rFonts w:ascii="Calibri" w:cs="Calibri" w:eastAsia="Calibri" w:hAnsi="Calibri"/>
          <w:b/>
          <w:bCs/>
          <w:color w:val="0B1F4D"/>
          <w:sz w:val="22"/>
          <w:szCs w:val="22"/>
        </w:rPr>
        <w:t xml:space="preserve">Calm hero, no stock photography. </w:t>
      </w:r>
      <w:r>
        <w:rPr>
          <w:rFonts w:ascii="Calibri" w:cs="Calibri" w:eastAsia="Calibri" w:hAnsi="Calibri"/>
          <w:color w:val="1F2937"/>
          <w:sz w:val="22"/>
          <w:szCs w:val="22"/>
        </w:rPr>
        <w:t xml:space="preserve">The default for edtech is a cheering-graduates photo behind gradient text. We do the opposite. Editorial typography is the hero, no image at all. This separates Distance MBA College visually from every competitor in the category.</w:t>
      </w:r>
    </w:p>
    <w:p>
      <w:pPr>
        <w:pStyle w:val="ListParagraph"/>
        <w:numPr>
          <w:ilvl w:val="0"/>
          <w:numId w:val="2"/>
        </w:numPr>
        <w:spacing w:after="40" w:before="40" w:line="300"/>
      </w:pPr>
      <w:r>
        <w:rPr>
          <w:rFonts w:ascii="Calibri" w:cs="Calibri" w:eastAsia="Calibri" w:hAnsi="Calibri"/>
          <w:b/>
          <w:bCs/>
          <w:color w:val="0B1F4D"/>
          <w:sz w:val="22"/>
          <w:szCs w:val="22"/>
        </w:rPr>
        <w:t xml:space="preserve">The italic signature. </w:t>
      </w:r>
      <w:r>
        <w:rPr>
          <w:rFonts w:ascii="Calibri" w:cs="Calibri" w:eastAsia="Calibri" w:hAnsi="Calibri"/>
          <w:color w:val="1F2937"/>
          <w:sz w:val="22"/>
          <w:szCs w:val="22"/>
        </w:rPr>
        <w:t xml:space="preserve">“life you already have” set in Lora italic inside the Poppins headline. Structured geometric sans paired with warm humanist serif. Two faces of type, one brand voice.</w:t>
      </w:r>
    </w:p>
    <w:p>
      <w:pPr>
        <w:pStyle w:val="ListParagraph"/>
        <w:numPr>
          <w:ilvl w:val="0"/>
          <w:numId w:val="2"/>
        </w:numPr>
        <w:spacing w:after="40" w:before="40" w:line="300"/>
      </w:pPr>
      <w:r>
        <w:rPr>
          <w:rFonts w:ascii="Calibri" w:cs="Calibri" w:eastAsia="Calibri" w:hAnsi="Calibri"/>
          <w:b/>
          <w:bCs/>
          <w:color w:val="0B1F4D"/>
          <w:sz w:val="22"/>
          <w:szCs w:val="22"/>
        </w:rPr>
        <w:t xml:space="preserve">Saffron-only CTA. </w:t>
      </w:r>
      <w:r>
        <w:rPr>
          <w:rFonts w:ascii="Calibri" w:cs="Calibri" w:eastAsia="Calibri" w:hAnsi="Calibri"/>
          <w:color w:val="1F2937"/>
          <w:sz w:val="22"/>
          <w:szCs w:val="22"/>
        </w:rPr>
        <w:t xml:space="preserve">The primary action carries the saffron, the secondary action stays quiet. Never two saffron buttons in the same view.</w:t>
      </w:r>
    </w:p>
    <w:p>
      <w:pPr>
        <w:pStyle w:val="ListParagraph"/>
        <w:numPr>
          <w:ilvl w:val="0"/>
          <w:numId w:val="2"/>
        </w:numPr>
        <w:spacing w:after="40" w:before="40" w:line="300"/>
      </w:pPr>
      <w:r>
        <w:rPr>
          <w:rFonts w:ascii="Calibri" w:cs="Calibri" w:eastAsia="Calibri" w:hAnsi="Calibri"/>
          <w:b/>
          <w:bCs/>
          <w:color w:val="0B1F4D"/>
          <w:sz w:val="22"/>
          <w:szCs w:val="22"/>
        </w:rPr>
        <w:t xml:space="preserve">Trust strip beneath. </w:t>
      </w:r>
      <w:r>
        <w:rPr>
          <w:rFonts w:ascii="Calibri" w:cs="Calibri" w:eastAsia="Calibri" w:hAnsi="Calibri"/>
          <w:color w:val="1F2937"/>
          <w:sz w:val="22"/>
          <w:szCs w:val="22"/>
        </w:rPr>
        <w:t xml:space="preserve">Specific numbers, accreditation badges. We earn clicks through credibility, not urgency.</w:t>
      </w:r>
    </w:p>
    <w:p>
      <w:pPr>
        <w:pStyle w:val="ListParagraph"/>
        <w:numPr>
          <w:ilvl w:val="0"/>
          <w:numId w:val="2"/>
        </w:numPr>
        <w:spacing w:after="40" w:before="40" w:line="300"/>
      </w:pPr>
      <w:r>
        <w:rPr>
          <w:rFonts w:ascii="Calibri" w:cs="Calibri" w:eastAsia="Calibri" w:hAnsi="Calibri"/>
          <w:b/>
          <w:bCs/>
          <w:color w:val="0B1F4D"/>
          <w:sz w:val="22"/>
          <w:szCs w:val="22"/>
        </w:rPr>
        <w:t xml:space="preserve">Single sticky element. </w:t>
      </w:r>
      <w:r>
        <w:rPr>
          <w:rFonts w:ascii="Calibri" w:cs="Calibri" w:eastAsia="Calibri" w:hAnsi="Calibri"/>
          <w:color w:val="1F2937"/>
          <w:sz w:val="22"/>
          <w:szCs w:val="22"/>
        </w:rPr>
        <w:t xml:space="preserve">On mobile, only the phone-call float. No popups in the first 30 seconds.</w:t>
      </w:r>
    </w:p>
    <w:p>
      <w:pPr>
        <w:pStyle w:val="Heading2"/>
        <w:pBdr>
          <w:bottom w:val="single" w:color="E8930E" w:sz="6" w:space="4"/>
        </w:pBdr>
        <w:spacing w:after="140" w:before="280"/>
      </w:pPr>
      <w:r>
        <w:rPr>
          <w:rFonts w:ascii="Calibri" w:cs="Calibri" w:eastAsia="Calibri" w:hAnsi="Calibri"/>
          <w:b/>
          <w:bCs/>
          <w:color w:val="0B1F4D"/>
          <w:sz w:val="30"/>
          <w:szCs w:val="30"/>
        </w:rPr>
        <w:t xml:space="preserve">Layout rules</w:t>
      </w:r>
    </w:p>
    <w:p>
      <w:pPr>
        <w:pStyle w:val="ListParagraph"/>
        <w:numPr>
          <w:ilvl w:val="0"/>
          <w:numId w:val="2"/>
        </w:numPr>
        <w:spacing w:after="40" w:before="40" w:line="300"/>
      </w:pPr>
      <w:r>
        <w:rPr>
          <w:rFonts w:ascii="Calibri" w:cs="Calibri" w:eastAsia="Calibri" w:hAnsi="Calibri"/>
          <w:b/>
          <w:bCs/>
          <w:color w:val="0B1F4D"/>
          <w:sz w:val="22"/>
          <w:szCs w:val="22"/>
        </w:rPr>
        <w:t xml:space="preserve">Max content width: </w:t>
      </w:r>
      <w:r>
        <w:rPr>
          <w:rFonts w:ascii="Calibri" w:cs="Calibri" w:eastAsia="Calibri" w:hAnsi="Calibri"/>
          <w:color w:val="1F2937"/>
          <w:sz w:val="22"/>
          <w:szCs w:val="22"/>
        </w:rPr>
        <w:t xml:space="preserve">1200 px, 24 px gutter, 12-column grid.</w:t>
      </w:r>
    </w:p>
    <w:p>
      <w:pPr>
        <w:pStyle w:val="ListParagraph"/>
        <w:numPr>
          <w:ilvl w:val="0"/>
          <w:numId w:val="2"/>
        </w:numPr>
        <w:spacing w:after="40" w:before="40" w:line="300"/>
      </w:pPr>
      <w:r>
        <w:rPr>
          <w:rFonts w:ascii="Calibri" w:cs="Calibri" w:eastAsia="Calibri" w:hAnsi="Calibri"/>
          <w:b/>
          <w:bCs/>
          <w:color w:val="0B1F4D"/>
          <w:sz w:val="22"/>
          <w:szCs w:val="22"/>
        </w:rPr>
        <w:t xml:space="preserve">Section padding: </w:t>
      </w:r>
      <w:r>
        <w:rPr>
          <w:rFonts w:ascii="Calibri" w:cs="Calibri" w:eastAsia="Calibri" w:hAnsi="Calibri"/>
          <w:color w:val="1F2937"/>
          <w:sz w:val="22"/>
          <w:szCs w:val="22"/>
        </w:rPr>
        <w:t xml:space="preserve">minimum 80 px on desktop, 48 px on mobile.</w:t>
      </w:r>
    </w:p>
    <w:p>
      <w:pPr>
        <w:pStyle w:val="ListParagraph"/>
        <w:numPr>
          <w:ilvl w:val="0"/>
          <w:numId w:val="2"/>
        </w:numPr>
        <w:spacing w:after="40" w:before="40" w:line="300"/>
      </w:pPr>
      <w:r>
        <w:rPr>
          <w:rFonts w:ascii="Calibri" w:cs="Calibri" w:eastAsia="Calibri" w:hAnsi="Calibri"/>
          <w:b/>
          <w:bCs/>
          <w:color w:val="0B1F4D"/>
          <w:sz w:val="22"/>
          <w:szCs w:val="22"/>
        </w:rPr>
        <w:t xml:space="preserve">Cards: </w:t>
      </w:r>
      <w:r>
        <w:rPr>
          <w:rFonts w:ascii="Calibri" w:cs="Calibri" w:eastAsia="Calibri" w:hAnsi="Calibri"/>
          <w:color w:val="1F2937"/>
          <w:sz w:val="22"/>
          <w:szCs w:val="22"/>
        </w:rPr>
        <w:t xml:space="preserve">elevated white surfaces over Cream page background. 1 px hairline border, 16 px radius, soft shadow.</w:t>
      </w:r>
    </w:p>
    <w:p>
      <w:pPr>
        <w:pStyle w:val="ListParagraph"/>
        <w:numPr>
          <w:ilvl w:val="0"/>
          <w:numId w:val="2"/>
        </w:numPr>
        <w:spacing w:after="40" w:before="40" w:line="300"/>
      </w:pPr>
      <w:r>
        <w:rPr>
          <w:rFonts w:ascii="Calibri" w:cs="Calibri" w:eastAsia="Calibri" w:hAnsi="Calibri"/>
          <w:b/>
          <w:bCs/>
          <w:color w:val="0B1F4D"/>
          <w:sz w:val="22"/>
          <w:szCs w:val="22"/>
        </w:rPr>
        <w:t xml:space="preserve">Buttons: </w:t>
      </w:r>
      <w:r>
        <w:rPr>
          <w:rFonts w:ascii="Calibri" w:cs="Calibri" w:eastAsia="Calibri" w:hAnsi="Calibri"/>
          <w:color w:val="1F2937"/>
          <w:sz w:val="22"/>
          <w:szCs w:val="22"/>
        </w:rPr>
        <w:t xml:space="preserve">8 px radius, 14-16 px vertical padding, 26-30 px horizontal. Never sharp rectangles or pills.</w:t>
      </w:r>
    </w:p>
    <w:p>
      <w:pPr>
        <w:pStyle w:val="Heading1"/>
        <w:pageBreakBefore/>
        <w:spacing w:after="200" w:before="360"/>
      </w:pPr>
      <w:r>
        <w:rPr>
          <w:rFonts w:ascii="Calibri" w:cs="Calibri" w:eastAsia="Calibri" w:hAnsi="Calibri"/>
          <w:b/>
          <w:bCs/>
          <w:color w:val="0B1F4D"/>
          <w:sz w:val="44"/>
          <w:szCs w:val="44"/>
        </w:rPr>
        <w:t xml:space="preserve">11  Application — One-Pager</w:t>
      </w:r>
    </w:p>
    <w:p>
      <w:pPr>
        <w:spacing w:after="80" w:before="80" w:line="300"/>
        <w:jc w:val="left"/>
      </w:pPr>
      <w:r>
        <w:rPr>
          <w:rFonts w:ascii="Calibri" w:cs="Calibri" w:eastAsia="Calibri" w:hAnsi="Calibri"/>
          <w:b w:val="false"/>
          <w:bCs w:val="false"/>
          <w:i w:val="false"/>
          <w:iCs w:val="false"/>
          <w:color w:val="1F2937"/>
          <w:sz w:val="22"/>
          <w:szCs w:val="22"/>
        </w:rPr>
        <w:t xml:space="preserve">The A4 one-pager is the print and PDF deliverable used for outreach to corporate L&amp;D teams, university partnership conversations, and counsellor-led WhatsApp follow-ups. The version below is fully production-ready.</w:t>
      </w:r>
    </w:p>
    <w:p>
      <w:pPr>
        <w:spacing w:after="120" w:before="120"/>
        <w:jc w:val="center"/>
      </w:pPr>
      <w:r>
        <w:drawing>
          <wp:inline distT="0" distB="0" distL="0" distR="0">
            <wp:extent cx="4381500" cy="619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381500" cy="6191250"/>
                    </a:xfrm>
                    <a:prstGeom prst="rect">
                      <a:avLst/>
                    </a:prstGeom>
                  </pic:spPr>
                </pic:pic>
              </a:graphicData>
            </a:graphic>
          </wp:inline>
        </w:drawing>
      </w:r>
    </w:p>
    <w:p>
      <w:pPr>
        <w:pStyle w:val="Heading2"/>
        <w:pBdr>
          <w:bottom w:val="single" w:color="E8930E" w:sz="6" w:space="4"/>
        </w:pBdr>
        <w:spacing w:after="140" w:before="280"/>
      </w:pPr>
      <w:r>
        <w:rPr>
          <w:rFonts w:ascii="Calibri" w:cs="Calibri" w:eastAsia="Calibri" w:hAnsi="Calibri"/>
          <w:b/>
          <w:bCs/>
          <w:color w:val="0B1F4D"/>
          <w:sz w:val="30"/>
          <w:szCs w:val="30"/>
        </w:rPr>
        <w:t xml:space="preserve">What is happening here</w:t>
      </w:r>
    </w:p>
    <w:p>
      <w:pPr>
        <w:pStyle w:val="ListParagraph"/>
        <w:numPr>
          <w:ilvl w:val="0"/>
          <w:numId w:val="2"/>
        </w:numPr>
        <w:spacing w:after="40" w:before="40" w:line="300"/>
      </w:pPr>
      <w:r>
        <w:rPr>
          <w:rFonts w:ascii="Calibri" w:cs="Calibri" w:eastAsia="Calibri" w:hAnsi="Calibri"/>
          <w:b/>
          <w:bCs/>
          <w:color w:val="0B1F4D"/>
          <w:sz w:val="22"/>
          <w:szCs w:val="22"/>
        </w:rPr>
        <w:t xml:space="preserve">The saffron bar. </w:t>
      </w:r>
      <w:r>
        <w:rPr>
          <w:rFonts w:ascii="Calibri" w:cs="Calibri" w:eastAsia="Calibri" w:hAnsi="Calibri"/>
          <w:color w:val="1F2937"/>
          <w:sz w:val="22"/>
          <w:szCs w:val="22"/>
        </w:rPr>
        <w:t xml:space="preserve">An 8 px Saffron stripe at the top is the brand's print signature, repeated quietly in the footer. Two warm notes framing serious content.</w:t>
      </w:r>
    </w:p>
    <w:p>
      <w:pPr>
        <w:pStyle w:val="ListParagraph"/>
        <w:numPr>
          <w:ilvl w:val="0"/>
          <w:numId w:val="2"/>
        </w:numPr>
        <w:spacing w:after="40" w:before="40" w:line="300"/>
      </w:pPr>
      <w:r>
        <w:rPr>
          <w:rFonts w:ascii="Calibri" w:cs="Calibri" w:eastAsia="Calibri" w:hAnsi="Calibri"/>
          <w:b/>
          <w:bCs/>
          <w:color w:val="0B1F4D"/>
          <w:sz w:val="22"/>
          <w:szCs w:val="22"/>
        </w:rPr>
        <w:t xml:space="preserve">Brand tagline beside the logo. </w:t>
      </w:r>
      <w:r>
        <w:rPr>
          <w:rFonts w:ascii="Calibri" w:cs="Calibri" w:eastAsia="Calibri" w:hAnsi="Calibri"/>
          <w:color w:val="1F2937"/>
          <w:sz w:val="22"/>
          <w:szCs w:val="22"/>
        </w:rPr>
        <w:t xml:space="preserve">“Your Future. One Smart Step Away.” set in Lora italic, right-aligned to balance the logo's horizontal weight.</w:t>
      </w:r>
    </w:p>
    <w:p>
      <w:pPr>
        <w:pStyle w:val="ListParagraph"/>
        <w:numPr>
          <w:ilvl w:val="0"/>
          <w:numId w:val="2"/>
        </w:numPr>
        <w:spacing w:after="40" w:before="40" w:line="300"/>
      </w:pPr>
      <w:r>
        <w:rPr>
          <w:rFonts w:ascii="Calibri" w:cs="Calibri" w:eastAsia="Calibri" w:hAnsi="Calibri"/>
          <w:b/>
          <w:bCs/>
          <w:color w:val="0B1F4D"/>
          <w:sz w:val="22"/>
          <w:szCs w:val="22"/>
        </w:rPr>
        <w:t xml:space="preserve">Editorial headline + comparison table. </w:t>
      </w:r>
      <w:r>
        <w:rPr>
          <w:rFonts w:ascii="Calibri" w:cs="Calibri" w:eastAsia="Calibri" w:hAnsi="Calibri"/>
          <w:color w:val="1F2937"/>
          <w:sz w:val="22"/>
          <w:szCs w:val="22"/>
        </w:rPr>
        <w:t xml:space="preserve">The same typographic pairing as the website hero, scaled for print. The comparison table is the deliverable, everything else frames it.</w:t>
      </w:r>
    </w:p>
    <w:p>
      <w:pPr>
        <w:pStyle w:val="ListParagraph"/>
        <w:numPr>
          <w:ilvl w:val="0"/>
          <w:numId w:val="2"/>
        </w:numPr>
        <w:spacing w:after="40" w:before="40" w:line="300"/>
      </w:pPr>
      <w:r>
        <w:rPr>
          <w:rFonts w:ascii="Calibri" w:cs="Calibri" w:eastAsia="Calibri" w:hAnsi="Calibri"/>
          <w:b/>
          <w:bCs/>
          <w:color w:val="0B1F4D"/>
          <w:sz w:val="22"/>
          <w:szCs w:val="22"/>
        </w:rPr>
        <w:t xml:space="preserve">Promise band in Navy. </w:t>
      </w:r>
      <w:r>
        <w:rPr>
          <w:rFonts w:ascii="Calibri" w:cs="Calibri" w:eastAsia="Calibri" w:hAnsi="Calibri"/>
          <w:color w:val="1F2937"/>
          <w:sz w:val="22"/>
          <w:szCs w:val="22"/>
        </w:rPr>
        <w:t xml:space="preserve">The brand promise quote sits in a saffron-and-navy band near the foot, with the call-to-action button to its right. This is the moment of trust before the contact strip.</w:t>
      </w:r>
    </w:p>
    <w:p>
      <w:pPr>
        <w:pStyle w:val="ListParagraph"/>
        <w:numPr>
          <w:ilvl w:val="0"/>
          <w:numId w:val="2"/>
        </w:numPr>
        <w:spacing w:after="40" w:before="40" w:line="300"/>
      </w:pPr>
      <w:r>
        <w:rPr>
          <w:rFonts w:ascii="Calibri" w:cs="Calibri" w:eastAsia="Calibri" w:hAnsi="Calibri"/>
          <w:b/>
          <w:bCs/>
          <w:color w:val="0B1F4D"/>
          <w:sz w:val="22"/>
          <w:szCs w:val="22"/>
        </w:rPr>
        <w:t xml:space="preserve">Accreditation badges at the foot. </w:t>
      </w:r>
      <w:r>
        <w:rPr>
          <w:rFonts w:ascii="Calibri" w:cs="Calibri" w:eastAsia="Calibri" w:hAnsi="Calibri"/>
          <w:color w:val="1F2937"/>
          <w:sz w:val="22"/>
          <w:szCs w:val="22"/>
        </w:rPr>
        <w:t xml:space="preserve">Greyscale, restrained. They authenticate, they do not decorate.</w:t>
      </w:r>
    </w:p>
    <w:p>
      <w:pPr>
        <w:pStyle w:val="Heading2"/>
        <w:pBdr>
          <w:bottom w:val="single" w:color="E8930E" w:sz="6" w:space="4"/>
        </w:pBdr>
        <w:spacing w:after="140" w:before="280"/>
      </w:pPr>
      <w:r>
        <w:rPr>
          <w:rFonts w:ascii="Calibri" w:cs="Calibri" w:eastAsia="Calibri" w:hAnsi="Calibri"/>
          <w:b/>
          <w:bCs/>
          <w:color w:val="0B1F4D"/>
          <w:sz w:val="30"/>
          <w:szCs w:val="30"/>
        </w:rPr>
        <w:t xml:space="preserve">Production specifications</w:t>
      </w:r>
    </w:p>
    <w:p>
      <w:pPr>
        <w:pStyle w:val="ListParagraph"/>
        <w:numPr>
          <w:ilvl w:val="0"/>
          <w:numId w:val="2"/>
        </w:numPr>
        <w:spacing w:after="40" w:before="40" w:line="300"/>
      </w:pPr>
      <w:r>
        <w:rPr>
          <w:rFonts w:ascii="Calibri" w:cs="Calibri" w:eastAsia="Calibri" w:hAnsi="Calibri"/>
          <w:b/>
          <w:bCs/>
          <w:color w:val="0B1F4D"/>
          <w:sz w:val="22"/>
          <w:szCs w:val="22"/>
        </w:rPr>
        <w:t xml:space="preserve">Size: </w:t>
      </w:r>
      <w:r>
        <w:rPr>
          <w:rFonts w:ascii="Calibri" w:cs="Calibri" w:eastAsia="Calibri" w:hAnsi="Calibri"/>
          <w:color w:val="1F2937"/>
          <w:sz w:val="22"/>
          <w:szCs w:val="22"/>
        </w:rPr>
        <w:t xml:space="preserve">A4 portrait, 210 × 297 mm, with 12 mm bleed for print.</w:t>
      </w:r>
    </w:p>
    <w:p>
      <w:pPr>
        <w:pStyle w:val="ListParagraph"/>
        <w:numPr>
          <w:ilvl w:val="0"/>
          <w:numId w:val="2"/>
        </w:numPr>
        <w:spacing w:after="40" w:before="40" w:line="300"/>
      </w:pPr>
      <w:r>
        <w:rPr>
          <w:rFonts w:ascii="Calibri" w:cs="Calibri" w:eastAsia="Calibri" w:hAnsi="Calibri"/>
          <w:b/>
          <w:bCs/>
          <w:color w:val="0B1F4D"/>
          <w:sz w:val="22"/>
          <w:szCs w:val="22"/>
        </w:rPr>
        <w:t xml:space="preserve">Print: </w:t>
      </w:r>
      <w:r>
        <w:rPr>
          <w:rFonts w:ascii="Calibri" w:cs="Calibri" w:eastAsia="Calibri" w:hAnsi="Calibri"/>
          <w:color w:val="1F2937"/>
          <w:sz w:val="22"/>
          <w:szCs w:val="22"/>
        </w:rPr>
        <w:t xml:space="preserve">CMYK conversion required. Use the print-ready logo files with the saffron set in CMYK 0/37/94/9.</w:t>
      </w:r>
    </w:p>
    <w:p>
      <w:pPr>
        <w:pStyle w:val="ListParagraph"/>
        <w:numPr>
          <w:ilvl w:val="0"/>
          <w:numId w:val="2"/>
        </w:numPr>
        <w:spacing w:after="40" w:before="40" w:line="300"/>
      </w:pPr>
      <w:r>
        <w:rPr>
          <w:rFonts w:ascii="Calibri" w:cs="Calibri" w:eastAsia="Calibri" w:hAnsi="Calibri"/>
          <w:b/>
          <w:bCs/>
          <w:color w:val="0B1F4D"/>
          <w:sz w:val="22"/>
          <w:szCs w:val="22"/>
        </w:rPr>
        <w:t xml:space="preserve">Digital PDF: </w:t>
      </w:r>
      <w:r>
        <w:rPr>
          <w:rFonts w:ascii="Calibri" w:cs="Calibri" w:eastAsia="Calibri" w:hAnsi="Calibri"/>
          <w:color w:val="1F2937"/>
          <w:sz w:val="22"/>
          <w:szCs w:val="22"/>
        </w:rPr>
        <w:t xml:space="preserve">RGB, hyperlinked phone number and website. Compress images to 150 dpi for email distribution.</w:t>
      </w:r>
    </w:p>
    <w:p>
      <w:pPr>
        <w:pStyle w:val="Heading1"/>
        <w:pageBreakBefore/>
        <w:spacing w:after="200" w:before="360"/>
      </w:pPr>
      <w:r>
        <w:rPr>
          <w:rFonts w:ascii="Calibri" w:cs="Calibri" w:eastAsia="Calibri" w:hAnsi="Calibri"/>
          <w:b/>
          <w:bCs/>
          <w:color w:val="0B1F4D"/>
          <w:sz w:val="44"/>
          <w:szCs w:val="44"/>
        </w:rPr>
        <w:t xml:space="preserve">12  Application — Email</w:t>
      </w:r>
    </w:p>
    <w:p>
      <w:pPr>
        <w:spacing w:after="80" w:before="80" w:line="300"/>
        <w:jc w:val="left"/>
      </w:pPr>
      <w:r>
        <w:rPr>
          <w:rFonts w:ascii="Calibri" w:cs="Calibri" w:eastAsia="Calibri" w:hAnsi="Calibri"/>
          <w:b w:val="false"/>
          <w:bCs w:val="false"/>
          <w:i w:val="false"/>
          <w:iCs w:val="false"/>
          <w:color w:val="1F2937"/>
          <w:sz w:val="22"/>
          <w:szCs w:val="22"/>
        </w:rPr>
        <w:t xml:space="preserve">Email is the highest-leverage nurture channel because the audience is researching over weeks, not minutes. The brand voice carries furthest here. The example below shows a Day 2 nurture email from a counsellor, the format that produces the highest reply rates in the category.</w:t>
      </w:r>
    </w:p>
    <w:p>
      <w:pPr>
        <w:spacing w:after="120" w:before="120"/>
        <w:jc w:val="center"/>
      </w:pPr>
      <w:r>
        <w:drawing>
          <wp:inline distT="0" distB="0" distL="0" distR="0">
            <wp:extent cx="4381500" cy="7334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4381500" cy="7334250"/>
                    </a:xfrm>
                    <a:prstGeom prst="rect">
                      <a:avLst/>
                    </a:prstGeom>
                  </pic:spPr>
                </pic:pic>
              </a:graphicData>
            </a:graphic>
          </wp:inline>
        </w:drawing>
      </w:r>
    </w:p>
    <w:p>
      <w:pPr>
        <w:pStyle w:val="Heading2"/>
        <w:pBdr>
          <w:bottom w:val="single" w:color="E8930E" w:sz="6" w:space="4"/>
        </w:pBdr>
        <w:spacing w:after="140" w:before="280"/>
      </w:pPr>
      <w:r>
        <w:rPr>
          <w:rFonts w:ascii="Calibri" w:cs="Calibri" w:eastAsia="Calibri" w:hAnsi="Calibri"/>
          <w:b/>
          <w:bCs/>
          <w:color w:val="0B1F4D"/>
          <w:sz w:val="30"/>
          <w:szCs w:val="30"/>
        </w:rPr>
        <w:t xml:space="preserve">What is happening here</w:t>
      </w:r>
    </w:p>
    <w:p>
      <w:pPr>
        <w:pStyle w:val="ListParagraph"/>
        <w:numPr>
          <w:ilvl w:val="0"/>
          <w:numId w:val="2"/>
        </w:numPr>
        <w:spacing w:after="40" w:before="40" w:line="300"/>
      </w:pPr>
      <w:r>
        <w:rPr>
          <w:rFonts w:ascii="Calibri" w:cs="Calibri" w:eastAsia="Calibri" w:hAnsi="Calibri"/>
          <w:b/>
          <w:bCs/>
          <w:color w:val="0B1F4D"/>
          <w:sz w:val="22"/>
          <w:szCs w:val="22"/>
        </w:rPr>
        <w:t xml:space="preserve">Sender is a person, not the brand. </w:t>
      </w:r>
      <w:r>
        <w:rPr>
          <w:rFonts w:ascii="Calibri" w:cs="Calibri" w:eastAsia="Calibri" w:hAnsi="Calibri"/>
          <w:color w:val="1F2937"/>
          <w:sz w:val="22"/>
          <w:szCs w:val="22"/>
        </w:rPr>
        <w:t xml:space="preserve">“Priya from Distance MBA College” opens 30-40% higher than brand-name senders. The counsellor avatar (initial P) sits at the top, navy with the saffron border, the institutional signature.</w:t>
      </w:r>
    </w:p>
    <w:p>
      <w:pPr>
        <w:pStyle w:val="ListParagraph"/>
        <w:numPr>
          <w:ilvl w:val="0"/>
          <w:numId w:val="2"/>
        </w:numPr>
        <w:spacing w:after="40" w:before="40" w:line="300"/>
      </w:pPr>
      <w:r>
        <w:rPr>
          <w:rFonts w:ascii="Calibri" w:cs="Calibri" w:eastAsia="Calibri" w:hAnsi="Calibri"/>
          <w:b/>
          <w:bCs/>
          <w:color w:val="0B1F4D"/>
          <w:sz w:val="22"/>
          <w:szCs w:val="22"/>
        </w:rPr>
        <w:t xml:space="preserve">Lowercase, specific subject line. </w:t>
      </w:r>
      <w:r>
        <w:rPr>
          <w:rFonts w:ascii="Calibri" w:cs="Calibri" w:eastAsia="Calibri" w:hAnsi="Calibri"/>
          <w:color w:val="1F2937"/>
          <w:sz w:val="22"/>
          <w:szCs w:val="22"/>
        </w:rPr>
        <w:t xml:space="preserve">“the honest IGNOU vs Symbiosis breakdown” outperforms title-case marketing subjects. It reads as a personal note.</w:t>
      </w:r>
    </w:p>
    <w:p>
      <w:pPr>
        <w:pStyle w:val="ListParagraph"/>
        <w:numPr>
          <w:ilvl w:val="0"/>
          <w:numId w:val="2"/>
        </w:numPr>
        <w:spacing w:after="40" w:before="40" w:line="300"/>
      </w:pPr>
      <w:r>
        <w:rPr>
          <w:rFonts w:ascii="Calibri" w:cs="Calibri" w:eastAsia="Calibri" w:hAnsi="Calibri"/>
          <w:b/>
          <w:bCs/>
          <w:color w:val="0B1F4D"/>
          <w:sz w:val="22"/>
          <w:szCs w:val="22"/>
        </w:rPr>
        <w:t xml:space="preserve">Italic editorial headline. </w:t>
      </w:r>
      <w:r>
        <w:rPr>
          <w:rFonts w:ascii="Calibri" w:cs="Calibri" w:eastAsia="Calibri" w:hAnsi="Calibri"/>
          <w:color w:val="1F2937"/>
          <w:sz w:val="22"/>
          <w:szCs w:val="22"/>
        </w:rPr>
        <w:t xml:space="preserve">Lora italic inside the email body. The same typographic signature as the website, scaled for inbox readability.</w:t>
      </w:r>
    </w:p>
    <w:p>
      <w:pPr>
        <w:pStyle w:val="ListParagraph"/>
        <w:numPr>
          <w:ilvl w:val="0"/>
          <w:numId w:val="2"/>
        </w:numPr>
        <w:spacing w:after="40" w:before="40" w:line="300"/>
      </w:pPr>
      <w:r>
        <w:rPr>
          <w:rFonts w:ascii="Calibri" w:cs="Calibri" w:eastAsia="Calibri" w:hAnsi="Calibri"/>
          <w:b/>
          <w:bCs/>
          <w:color w:val="0B1F4D"/>
          <w:sz w:val="22"/>
          <w:szCs w:val="22"/>
        </w:rPr>
        <w:t xml:space="preserve">The saffron-bordered pull quote. </w:t>
      </w:r>
      <w:r>
        <w:rPr>
          <w:rFonts w:ascii="Calibri" w:cs="Calibri" w:eastAsia="Calibri" w:hAnsi="Calibri"/>
          <w:color w:val="1F2937"/>
          <w:sz w:val="22"/>
          <w:szCs w:val="22"/>
        </w:rPr>
        <w:t xml:space="preserve">One key insight pulled into a Cream block with a saffron left border. Lora italic. This is the email's takeaway, designed to be screenshotted and forwarded.</w:t>
      </w:r>
    </w:p>
    <w:p>
      <w:pPr>
        <w:pStyle w:val="ListParagraph"/>
        <w:numPr>
          <w:ilvl w:val="0"/>
          <w:numId w:val="2"/>
        </w:numPr>
        <w:spacing w:after="40" w:before="40" w:line="300"/>
      </w:pPr>
      <w:r>
        <w:rPr>
          <w:rFonts w:ascii="Calibri" w:cs="Calibri" w:eastAsia="Calibri" w:hAnsi="Calibri"/>
          <w:b/>
          <w:bCs/>
          <w:color w:val="0B1F4D"/>
          <w:sz w:val="22"/>
          <w:szCs w:val="22"/>
        </w:rPr>
        <w:t xml:space="preserve">Specific bullets, bolded leads. </w:t>
      </w:r>
      <w:r>
        <w:rPr>
          <w:rFonts w:ascii="Calibri" w:cs="Calibri" w:eastAsia="Calibri" w:hAnsi="Calibri"/>
          <w:color w:val="1F2937"/>
          <w:sz w:val="22"/>
          <w:szCs w:val="22"/>
        </w:rPr>
        <w:t xml:space="preserve">Each bullet has a bolded category lead and a one-line specific claim. Readers can skim and still learn.</w:t>
      </w:r>
    </w:p>
    <w:p>
      <w:pPr>
        <w:pStyle w:val="ListParagraph"/>
        <w:numPr>
          <w:ilvl w:val="0"/>
          <w:numId w:val="2"/>
        </w:numPr>
        <w:spacing w:after="40" w:before="40" w:line="300"/>
      </w:pPr>
      <w:r>
        <w:rPr>
          <w:rFonts w:ascii="Calibri" w:cs="Calibri" w:eastAsia="Calibri" w:hAnsi="Calibri"/>
          <w:b/>
          <w:bCs/>
          <w:color w:val="0B1F4D"/>
          <w:sz w:val="22"/>
          <w:szCs w:val="22"/>
        </w:rPr>
        <w:t xml:space="preserve">Single CTA. </w:t>
      </w:r>
      <w:r>
        <w:rPr>
          <w:rFonts w:ascii="Calibri" w:cs="Calibri" w:eastAsia="Calibri" w:hAnsi="Calibri"/>
          <w:color w:val="1F2937"/>
          <w:sz w:val="22"/>
          <w:szCs w:val="22"/>
        </w:rPr>
        <w:t xml:space="preserve">One saffron button, mid-email, calling for a 20-minute call. Not a generic “learn more.”</w:t>
      </w:r>
    </w:p>
    <w:p>
      <w:pPr>
        <w:pStyle w:val="ListParagraph"/>
        <w:numPr>
          <w:ilvl w:val="0"/>
          <w:numId w:val="2"/>
        </w:numPr>
        <w:spacing w:after="40" w:before="40" w:line="300"/>
      </w:pPr>
      <w:r>
        <w:rPr>
          <w:rFonts w:ascii="Calibri" w:cs="Calibri" w:eastAsia="Calibri" w:hAnsi="Calibri"/>
          <w:b/>
          <w:bCs/>
          <w:color w:val="0B1F4D"/>
          <w:sz w:val="22"/>
          <w:szCs w:val="22"/>
        </w:rPr>
        <w:t xml:space="preserve">Personal sign-off. </w:t>
      </w:r>
      <w:r>
        <w:rPr>
          <w:rFonts w:ascii="Calibri" w:cs="Calibri" w:eastAsia="Calibri" w:hAnsi="Calibri"/>
          <w:color w:val="1F2937"/>
          <w:sz w:val="22"/>
          <w:szCs w:val="22"/>
        </w:rPr>
        <w:t xml:space="preserve">Counsellor name in navy bold, role in Lora italic slate. The human voice closes the email.</w:t>
      </w:r>
    </w:p>
    <w:p>
      <w:pPr>
        <w:pStyle w:val="Heading2"/>
        <w:pBdr>
          <w:bottom w:val="single" w:color="E8930E" w:sz="6" w:space="4"/>
        </w:pBdr>
        <w:spacing w:after="140" w:before="280"/>
      </w:pPr>
      <w:r>
        <w:rPr>
          <w:rFonts w:ascii="Calibri" w:cs="Calibri" w:eastAsia="Calibri" w:hAnsi="Calibri"/>
          <w:b/>
          <w:bCs/>
          <w:color w:val="0B1F4D"/>
          <w:sz w:val="30"/>
          <w:szCs w:val="30"/>
        </w:rPr>
        <w:t xml:space="preserve">Email production rules</w:t>
      </w:r>
    </w:p>
    <w:p>
      <w:pPr>
        <w:pStyle w:val="ListParagraph"/>
        <w:numPr>
          <w:ilvl w:val="0"/>
          <w:numId w:val="2"/>
        </w:numPr>
        <w:spacing w:after="40" w:before="40" w:line="300"/>
      </w:pPr>
      <w:r>
        <w:rPr>
          <w:rFonts w:ascii="Calibri" w:cs="Calibri" w:eastAsia="Calibri" w:hAnsi="Calibri"/>
          <w:b/>
          <w:bCs/>
          <w:color w:val="0B1F4D"/>
          <w:sz w:val="22"/>
          <w:szCs w:val="22"/>
        </w:rPr>
        <w:t xml:space="preserve">Width: </w:t>
      </w:r>
      <w:r>
        <w:rPr>
          <w:rFonts w:ascii="Calibri" w:cs="Calibri" w:eastAsia="Calibri" w:hAnsi="Calibri"/>
          <w:color w:val="1F2937"/>
          <w:sz w:val="22"/>
          <w:szCs w:val="22"/>
        </w:rPr>
        <w:t xml:space="preserve">640 px content width. Renders well across Gmail, Outlook, Apple Mail.</w:t>
      </w:r>
    </w:p>
    <w:p>
      <w:pPr>
        <w:pStyle w:val="ListParagraph"/>
        <w:numPr>
          <w:ilvl w:val="0"/>
          <w:numId w:val="2"/>
        </w:numPr>
        <w:spacing w:after="40" w:before="40" w:line="300"/>
      </w:pPr>
      <w:r>
        <w:rPr>
          <w:rFonts w:ascii="Calibri" w:cs="Calibri" w:eastAsia="Calibri" w:hAnsi="Calibri"/>
          <w:b/>
          <w:bCs/>
          <w:color w:val="0B1F4D"/>
          <w:sz w:val="22"/>
          <w:szCs w:val="22"/>
        </w:rPr>
        <w:t xml:space="preserve">Fonts: </w:t>
      </w:r>
      <w:r>
        <w:rPr>
          <w:rFonts w:ascii="Calibri" w:cs="Calibri" w:eastAsia="Calibri" w:hAnsi="Calibri"/>
          <w:color w:val="1F2937"/>
          <w:sz w:val="22"/>
          <w:szCs w:val="22"/>
        </w:rPr>
        <w:t xml:space="preserve">Use the web fallback stack. Email clients vary in font support; Poppins falls back to system-ui, Lora falls back to Georgia.</w:t>
      </w:r>
    </w:p>
    <w:p>
      <w:pPr>
        <w:pStyle w:val="ListParagraph"/>
        <w:numPr>
          <w:ilvl w:val="0"/>
          <w:numId w:val="2"/>
        </w:numPr>
        <w:spacing w:after="40" w:before="40" w:line="300"/>
      </w:pPr>
      <w:r>
        <w:rPr>
          <w:rFonts w:ascii="Calibri" w:cs="Calibri" w:eastAsia="Calibri" w:hAnsi="Calibri"/>
          <w:b/>
          <w:bCs/>
          <w:color w:val="0B1F4D"/>
          <w:sz w:val="22"/>
          <w:szCs w:val="22"/>
        </w:rPr>
        <w:t xml:space="preserve">Images: </w:t>
      </w:r>
      <w:r>
        <w:rPr>
          <w:rFonts w:ascii="Calibri" w:cs="Calibri" w:eastAsia="Calibri" w:hAnsi="Calibri"/>
          <w:color w:val="1F2937"/>
          <w:sz w:val="22"/>
          <w:szCs w:val="22"/>
        </w:rPr>
        <w:t xml:space="preserve">Logo and avatar only. No header banner images, they trigger spam filters.</w:t>
      </w:r>
    </w:p>
    <w:p>
      <w:pPr>
        <w:pStyle w:val="ListParagraph"/>
        <w:numPr>
          <w:ilvl w:val="0"/>
          <w:numId w:val="2"/>
        </w:numPr>
        <w:spacing w:after="40" w:before="40" w:line="300"/>
      </w:pPr>
      <w:r>
        <w:rPr>
          <w:rFonts w:ascii="Calibri" w:cs="Calibri" w:eastAsia="Calibri" w:hAnsi="Calibri"/>
          <w:b/>
          <w:bCs/>
          <w:color w:val="0B1F4D"/>
          <w:sz w:val="22"/>
          <w:szCs w:val="22"/>
        </w:rPr>
        <w:t xml:space="preserve">Plain text version: </w:t>
      </w:r>
      <w:r>
        <w:rPr>
          <w:rFonts w:ascii="Calibri" w:cs="Calibri" w:eastAsia="Calibri" w:hAnsi="Calibri"/>
          <w:color w:val="1F2937"/>
          <w:sz w:val="22"/>
          <w:szCs w:val="22"/>
        </w:rPr>
        <w:t xml:space="preserve">Always paired with the HTML. The plain-text version maintains the voice and the call to action.</w:t>
      </w:r>
    </w:p>
    <w:p>
      <w:pPr>
        <w:pStyle w:val="Heading1"/>
        <w:pageBreakBefore/>
        <w:spacing w:after="200" w:before="360"/>
      </w:pPr>
      <w:r>
        <w:rPr>
          <w:rFonts w:ascii="Calibri" w:cs="Calibri" w:eastAsia="Calibri" w:hAnsi="Calibri"/>
          <w:b/>
          <w:bCs/>
          <w:color w:val="0B1F4D"/>
          <w:sz w:val="44"/>
          <w:szCs w:val="44"/>
        </w:rPr>
        <w:t xml:space="preserve">13  Brand Do's and Don'ts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BD5E1" w:sz="4"/>
              <w:left w:val="single" w:color="CBD5E1" w:sz="4"/>
              <w:bottom w:val="single" w:color="CBD5E1" w:sz="4"/>
              <w:right w:val="single" w:color="CBD5E1" w:sz="4"/>
            </w:tcBorders>
            <w:shd w:fill="0B1F4D" w:val="clear"/>
            <w:tcMar>
              <w:top w:type="dxa" w:w="140"/>
              <w:left w:type="dxa" w:w="180"/>
              <w:bottom w:type="dxa" w:w="140"/>
              <w:right w:type="dxa" w:w="180"/>
            </w:tcMar>
            <w:vAlign w:val="center"/>
          </w:tcPr>
          <w:p>
            <w:pPr>
              <w:spacing w:after="20" w:before="20"/>
              <w:jc w:val="left"/>
            </w:pPr>
            <w:r>
              <w:rPr>
                <w:rFonts w:ascii="Calibri" w:cs="Calibri" w:eastAsia="Calibri" w:hAnsi="Calibri"/>
                <w:b/>
                <w:bCs/>
                <w:color w:val="FFFFFF"/>
                <w:sz w:val="24"/>
                <w:szCs w:val="24"/>
              </w:rPr>
              <w:t xml:space="preserve">Do</w:t>
            </w:r>
          </w:p>
        </w:tc>
        <w:tc>
          <w:tcPr>
            <w:tcW w:type="dxa" w:w="4680"/>
            <w:tcBorders>
              <w:top w:val="single" w:color="CBD5E1" w:sz="4"/>
              <w:left w:val="single" w:color="CBD5E1" w:sz="4"/>
              <w:bottom w:val="single" w:color="CBD5E1" w:sz="4"/>
              <w:right w:val="single" w:color="CBD5E1" w:sz="4"/>
            </w:tcBorders>
            <w:shd w:fill="0B1F4D" w:val="clear"/>
            <w:tcMar>
              <w:top w:type="dxa" w:w="140"/>
              <w:left w:type="dxa" w:w="180"/>
              <w:bottom w:type="dxa" w:w="140"/>
              <w:right w:type="dxa" w:w="180"/>
            </w:tcMar>
            <w:vAlign w:val="center"/>
          </w:tcPr>
          <w:p>
            <w:pPr>
              <w:spacing w:after="20" w:before="20"/>
              <w:jc w:val="left"/>
            </w:pPr>
            <w:r>
              <w:rPr>
                <w:rFonts w:ascii="Calibri" w:cs="Calibri" w:eastAsia="Calibri" w:hAnsi="Calibri"/>
                <w:b/>
                <w:bCs/>
                <w:color w:val="FFFFFF"/>
                <w:sz w:val="24"/>
                <w:szCs w:val="24"/>
              </w:rPr>
              <w:t xml:space="preserve">Don't</w:t>
            </w:r>
          </w:p>
        </w:tc>
      </w:tr>
      <w:tr>
        <w:tc>
          <w:tcPr>
            <w:tcW w:type="dxa" w:w="4680"/>
            <w:tcBorders>
              <w:top w:val="single" w:color="CBD5E1" w:sz="4"/>
              <w:left w:val="single" w:color="CBD5E1" w:sz="4"/>
              <w:bottom w:val="single" w:color="CBD5E1" w:sz="4"/>
              <w:right w:val="single" w:color="CBD5E1" w:sz="4"/>
            </w:tcBorders>
            <w:tcMar>
              <w:top w:type="dxa" w:w="140"/>
              <w:left w:type="dxa" w:w="180"/>
              <w:bottom w:type="dxa" w:w="140"/>
              <w:right w:type="dxa" w:w="180"/>
            </w:tcMar>
            <w:vAlign w:val="center"/>
          </w:tcPr>
          <w:p>
            <w:pPr>
              <w:spacing w:after="20" w:before="20"/>
              <w:jc w:val="left"/>
            </w:pPr>
            <w:r>
              <w:rPr>
                <w:rFonts w:ascii="Calibri" w:cs="Calibri" w:eastAsia="Calibri" w:hAnsi="Calibri"/>
                <w:b w:val="false"/>
                <w:bCs w:val="false"/>
                <w:color w:val="1F2937"/>
                <w:sz w:val="20"/>
                <w:szCs w:val="20"/>
              </w:rPr>
              <w:t xml:space="preserve">Lead with the audience's problem, not our product.</w:t>
            </w:r>
          </w:p>
        </w:tc>
        <w:tc>
          <w:tcPr>
            <w:tcW w:type="dxa" w:w="4680"/>
            <w:tcBorders>
              <w:top w:val="single" w:color="CBD5E1" w:sz="4"/>
              <w:left w:val="single" w:color="CBD5E1" w:sz="4"/>
              <w:bottom w:val="single" w:color="CBD5E1" w:sz="4"/>
              <w:right w:val="single" w:color="CBD5E1" w:sz="4"/>
            </w:tcBorders>
            <w:tcMar>
              <w:top w:type="dxa" w:w="140"/>
              <w:left w:type="dxa" w:w="180"/>
              <w:bottom w:type="dxa" w:w="140"/>
              <w:right w:type="dxa" w:w="180"/>
            </w:tcMar>
            <w:vAlign w:val="center"/>
          </w:tcPr>
          <w:p>
            <w:pPr>
              <w:spacing w:after="20" w:before="20"/>
              <w:jc w:val="left"/>
            </w:pPr>
            <w:r>
              <w:rPr>
                <w:rFonts w:ascii="Calibri" w:cs="Calibri" w:eastAsia="Calibri" w:hAnsi="Calibri"/>
                <w:b w:val="false"/>
                <w:bCs w:val="false"/>
                <w:color w:val="475569"/>
                <w:sz w:val="20"/>
                <w:szCs w:val="20"/>
              </w:rPr>
              <w:t xml:space="preserve">Open with “We are India's leading platform.”</w:t>
            </w:r>
          </w:p>
        </w:tc>
      </w:tr>
      <w:tr>
        <w:tc>
          <w:tcPr>
            <w:tcW w:type="dxa" w:w="4680"/>
            <w:tcBorders>
              <w:top w:val="single" w:color="CBD5E1" w:sz="4"/>
              <w:left w:val="single" w:color="CBD5E1" w:sz="4"/>
              <w:bottom w:val="single" w:color="CBD5E1" w:sz="4"/>
              <w:right w:val="single" w:color="CBD5E1" w:sz="4"/>
            </w:tcBorders>
            <w:tcMar>
              <w:top w:type="dxa" w:w="140"/>
              <w:left w:type="dxa" w:w="180"/>
              <w:bottom w:type="dxa" w:w="140"/>
              <w:right w:type="dxa" w:w="180"/>
            </w:tcMar>
            <w:vAlign w:val="center"/>
          </w:tcPr>
          <w:p>
            <w:pPr>
              <w:spacing w:after="20" w:before="20"/>
              <w:jc w:val="left"/>
            </w:pPr>
            <w:r>
              <w:rPr>
                <w:rFonts w:ascii="Calibri" w:cs="Calibri" w:eastAsia="Calibri" w:hAnsi="Calibri"/>
                <w:b w:val="false"/>
                <w:bCs w:val="false"/>
                <w:color w:val="1F2937"/>
                <w:sz w:val="20"/>
                <w:szCs w:val="20"/>
              </w:rPr>
              <w:t xml:space="preserve">Show real photos, real names, real outcomes.</w:t>
            </w:r>
          </w:p>
        </w:tc>
        <w:tc>
          <w:tcPr>
            <w:tcW w:type="dxa" w:w="4680"/>
            <w:tcBorders>
              <w:top w:val="single" w:color="CBD5E1" w:sz="4"/>
              <w:left w:val="single" w:color="CBD5E1" w:sz="4"/>
              <w:bottom w:val="single" w:color="CBD5E1" w:sz="4"/>
              <w:right w:val="single" w:color="CBD5E1" w:sz="4"/>
            </w:tcBorders>
            <w:tcMar>
              <w:top w:type="dxa" w:w="140"/>
              <w:left w:type="dxa" w:w="180"/>
              <w:bottom w:type="dxa" w:w="140"/>
              <w:right w:type="dxa" w:w="180"/>
            </w:tcMar>
            <w:vAlign w:val="center"/>
          </w:tcPr>
          <w:p>
            <w:pPr>
              <w:spacing w:after="20" w:before="20"/>
              <w:jc w:val="left"/>
            </w:pPr>
            <w:r>
              <w:rPr>
                <w:rFonts w:ascii="Calibri" w:cs="Calibri" w:eastAsia="Calibri" w:hAnsi="Calibri"/>
                <w:b w:val="false"/>
                <w:bCs w:val="false"/>
                <w:color w:val="475569"/>
                <w:sz w:val="20"/>
                <w:szCs w:val="20"/>
              </w:rPr>
              <w:t xml:space="preserve">Use stock photos of cheering graduates.</w:t>
            </w:r>
          </w:p>
        </w:tc>
      </w:tr>
      <w:tr>
        <w:tc>
          <w:tcPr>
            <w:tcW w:type="dxa" w:w="4680"/>
            <w:tcBorders>
              <w:top w:val="single" w:color="CBD5E1" w:sz="4"/>
              <w:left w:val="single" w:color="CBD5E1" w:sz="4"/>
              <w:bottom w:val="single" w:color="CBD5E1" w:sz="4"/>
              <w:right w:val="single" w:color="CBD5E1" w:sz="4"/>
            </w:tcBorders>
            <w:tcMar>
              <w:top w:type="dxa" w:w="140"/>
              <w:left w:type="dxa" w:w="180"/>
              <w:bottom w:type="dxa" w:w="140"/>
              <w:right w:type="dxa" w:w="180"/>
            </w:tcMar>
            <w:vAlign w:val="center"/>
          </w:tcPr>
          <w:p>
            <w:pPr>
              <w:spacing w:after="20" w:before="20"/>
              <w:jc w:val="left"/>
            </w:pPr>
            <w:r>
              <w:rPr>
                <w:rFonts w:ascii="Calibri" w:cs="Calibri" w:eastAsia="Calibri" w:hAnsi="Calibri"/>
                <w:b w:val="false"/>
                <w:bCs w:val="false"/>
                <w:color w:val="1F2937"/>
                <w:sz w:val="20"/>
                <w:szCs w:val="20"/>
              </w:rPr>
              <w:t xml:space="preserve">Use saffron only for what we want clicked.</w:t>
            </w:r>
          </w:p>
        </w:tc>
        <w:tc>
          <w:tcPr>
            <w:tcW w:type="dxa" w:w="4680"/>
            <w:tcBorders>
              <w:top w:val="single" w:color="CBD5E1" w:sz="4"/>
              <w:left w:val="single" w:color="CBD5E1" w:sz="4"/>
              <w:bottom w:val="single" w:color="CBD5E1" w:sz="4"/>
              <w:right w:val="single" w:color="CBD5E1" w:sz="4"/>
            </w:tcBorders>
            <w:tcMar>
              <w:top w:type="dxa" w:w="140"/>
              <w:left w:type="dxa" w:w="180"/>
              <w:bottom w:type="dxa" w:w="140"/>
              <w:right w:type="dxa" w:w="180"/>
            </w:tcMar>
            <w:vAlign w:val="center"/>
          </w:tcPr>
          <w:p>
            <w:pPr>
              <w:spacing w:after="20" w:before="20"/>
              <w:jc w:val="left"/>
            </w:pPr>
            <w:r>
              <w:rPr>
                <w:rFonts w:ascii="Calibri" w:cs="Calibri" w:eastAsia="Calibri" w:hAnsi="Calibri"/>
                <w:b w:val="false"/>
                <w:bCs w:val="false"/>
                <w:color w:val="475569"/>
                <w:sz w:val="20"/>
                <w:szCs w:val="20"/>
              </w:rPr>
              <w:t xml:space="preserve">Decorate the page with saffron everywhere.</w:t>
            </w:r>
          </w:p>
        </w:tc>
      </w:tr>
      <w:tr>
        <w:tc>
          <w:tcPr>
            <w:tcW w:type="dxa" w:w="4680"/>
            <w:tcBorders>
              <w:top w:val="single" w:color="CBD5E1" w:sz="4"/>
              <w:left w:val="single" w:color="CBD5E1" w:sz="4"/>
              <w:bottom w:val="single" w:color="CBD5E1" w:sz="4"/>
              <w:right w:val="single" w:color="CBD5E1" w:sz="4"/>
            </w:tcBorders>
            <w:tcMar>
              <w:top w:type="dxa" w:w="140"/>
              <w:left w:type="dxa" w:w="180"/>
              <w:bottom w:type="dxa" w:w="140"/>
              <w:right w:type="dxa" w:w="180"/>
            </w:tcMar>
            <w:vAlign w:val="center"/>
          </w:tcPr>
          <w:p>
            <w:pPr>
              <w:spacing w:after="20" w:before="20"/>
              <w:jc w:val="left"/>
            </w:pPr>
            <w:r>
              <w:rPr>
                <w:rFonts w:ascii="Calibri" w:cs="Calibri" w:eastAsia="Calibri" w:hAnsi="Calibri"/>
                <w:b w:val="false"/>
                <w:bCs w:val="false"/>
                <w:color w:val="1F2937"/>
                <w:sz w:val="20"/>
                <w:szCs w:val="20"/>
              </w:rPr>
              <w:t xml:space="preserve">Use Lora italic for human-voice moments, sparingly.</w:t>
            </w:r>
          </w:p>
        </w:tc>
        <w:tc>
          <w:tcPr>
            <w:tcW w:type="dxa" w:w="4680"/>
            <w:tcBorders>
              <w:top w:val="single" w:color="CBD5E1" w:sz="4"/>
              <w:left w:val="single" w:color="CBD5E1" w:sz="4"/>
              <w:bottom w:val="single" w:color="CBD5E1" w:sz="4"/>
              <w:right w:val="single" w:color="CBD5E1" w:sz="4"/>
            </w:tcBorders>
            <w:tcMar>
              <w:top w:type="dxa" w:w="140"/>
              <w:left w:type="dxa" w:w="180"/>
              <w:bottom w:type="dxa" w:w="140"/>
              <w:right w:type="dxa" w:w="180"/>
            </w:tcMar>
            <w:vAlign w:val="center"/>
          </w:tcPr>
          <w:p>
            <w:pPr>
              <w:spacing w:after="20" w:before="20"/>
              <w:jc w:val="left"/>
            </w:pPr>
            <w:r>
              <w:rPr>
                <w:rFonts w:ascii="Calibri" w:cs="Calibri" w:eastAsia="Calibri" w:hAnsi="Calibri"/>
                <w:b w:val="false"/>
                <w:bCs w:val="false"/>
                <w:color w:val="475569"/>
                <w:sz w:val="20"/>
                <w:szCs w:val="20"/>
              </w:rPr>
              <w:t xml:space="preserve">Set entire paragraphs in italic.</w:t>
            </w:r>
          </w:p>
        </w:tc>
      </w:tr>
      <w:tr>
        <w:tc>
          <w:tcPr>
            <w:tcW w:type="dxa" w:w="4680"/>
            <w:tcBorders>
              <w:top w:val="single" w:color="CBD5E1" w:sz="4"/>
              <w:left w:val="single" w:color="CBD5E1" w:sz="4"/>
              <w:bottom w:val="single" w:color="CBD5E1" w:sz="4"/>
              <w:right w:val="single" w:color="CBD5E1" w:sz="4"/>
            </w:tcBorders>
            <w:tcMar>
              <w:top w:type="dxa" w:w="140"/>
              <w:left w:type="dxa" w:w="180"/>
              <w:bottom w:type="dxa" w:w="140"/>
              <w:right w:type="dxa" w:w="180"/>
            </w:tcMar>
            <w:vAlign w:val="center"/>
          </w:tcPr>
          <w:p>
            <w:pPr>
              <w:spacing w:after="20" w:before="20"/>
              <w:jc w:val="left"/>
            </w:pPr>
            <w:r>
              <w:rPr>
                <w:rFonts w:ascii="Calibri" w:cs="Calibri" w:eastAsia="Calibri" w:hAnsi="Calibri"/>
                <w:b w:val="false"/>
                <w:bCs w:val="false"/>
                <w:color w:val="1F2937"/>
                <w:sz w:val="20"/>
                <w:szCs w:val="20"/>
              </w:rPr>
              <w:t xml:space="preserve">Mention accreditation by name (UGC-DEB, AICTE).</w:t>
            </w:r>
          </w:p>
        </w:tc>
        <w:tc>
          <w:tcPr>
            <w:tcW w:type="dxa" w:w="4680"/>
            <w:tcBorders>
              <w:top w:val="single" w:color="CBD5E1" w:sz="4"/>
              <w:left w:val="single" w:color="CBD5E1" w:sz="4"/>
              <w:bottom w:val="single" w:color="CBD5E1" w:sz="4"/>
              <w:right w:val="single" w:color="CBD5E1" w:sz="4"/>
            </w:tcBorders>
            <w:tcMar>
              <w:top w:type="dxa" w:w="140"/>
              <w:left w:type="dxa" w:w="180"/>
              <w:bottom w:type="dxa" w:w="140"/>
              <w:right w:type="dxa" w:w="180"/>
            </w:tcMar>
            <w:vAlign w:val="center"/>
          </w:tcPr>
          <w:p>
            <w:pPr>
              <w:spacing w:after="20" w:before="20"/>
              <w:jc w:val="left"/>
            </w:pPr>
            <w:r>
              <w:rPr>
                <w:rFonts w:ascii="Calibri" w:cs="Calibri" w:eastAsia="Calibri" w:hAnsi="Calibri"/>
                <w:b w:val="false"/>
                <w:bCs w:val="false"/>
                <w:color w:val="475569"/>
                <w:sz w:val="20"/>
                <w:szCs w:val="20"/>
              </w:rPr>
              <w:t xml:space="preserve">Say “government approved” without specifics.</w:t>
            </w:r>
          </w:p>
        </w:tc>
      </w:tr>
      <w:tr>
        <w:tc>
          <w:tcPr>
            <w:tcW w:type="dxa" w:w="4680"/>
            <w:tcBorders>
              <w:top w:val="single" w:color="CBD5E1" w:sz="4"/>
              <w:left w:val="single" w:color="CBD5E1" w:sz="4"/>
              <w:bottom w:val="single" w:color="CBD5E1" w:sz="4"/>
              <w:right w:val="single" w:color="CBD5E1" w:sz="4"/>
            </w:tcBorders>
            <w:tcMar>
              <w:top w:type="dxa" w:w="140"/>
              <w:left w:type="dxa" w:w="180"/>
              <w:bottom w:type="dxa" w:w="140"/>
              <w:right w:type="dxa" w:w="180"/>
            </w:tcMar>
            <w:vAlign w:val="center"/>
          </w:tcPr>
          <w:p>
            <w:pPr>
              <w:spacing w:after="20" w:before="20"/>
              <w:jc w:val="left"/>
            </w:pPr>
            <w:r>
              <w:rPr>
                <w:rFonts w:ascii="Calibri" w:cs="Calibri" w:eastAsia="Calibri" w:hAnsi="Calibri"/>
                <w:b w:val="false"/>
                <w:bCs w:val="false"/>
                <w:color w:val="1F2937"/>
                <w:sz w:val="20"/>
                <w:szCs w:val="20"/>
              </w:rPr>
              <w:t xml:space="preserve">Keep counsellor tone advisory and listening-led.</w:t>
            </w:r>
          </w:p>
        </w:tc>
        <w:tc>
          <w:tcPr>
            <w:tcW w:type="dxa" w:w="4680"/>
            <w:tcBorders>
              <w:top w:val="single" w:color="CBD5E1" w:sz="4"/>
              <w:left w:val="single" w:color="CBD5E1" w:sz="4"/>
              <w:bottom w:val="single" w:color="CBD5E1" w:sz="4"/>
              <w:right w:val="single" w:color="CBD5E1" w:sz="4"/>
            </w:tcBorders>
            <w:tcMar>
              <w:top w:type="dxa" w:w="140"/>
              <w:left w:type="dxa" w:w="180"/>
              <w:bottom w:type="dxa" w:w="140"/>
              <w:right w:type="dxa" w:w="180"/>
            </w:tcMar>
            <w:vAlign w:val="center"/>
          </w:tcPr>
          <w:p>
            <w:pPr>
              <w:spacing w:after="20" w:before="20"/>
              <w:jc w:val="left"/>
            </w:pPr>
            <w:r>
              <w:rPr>
                <w:rFonts w:ascii="Calibri" w:cs="Calibri" w:eastAsia="Calibri" w:hAnsi="Calibri"/>
                <w:b w:val="false"/>
                <w:bCs w:val="false"/>
                <w:color w:val="475569"/>
                <w:sz w:val="20"/>
                <w:szCs w:val="20"/>
              </w:rPr>
              <w:t xml:space="preserve">Push, pressure, or use scarcity tactics.</w:t>
            </w:r>
          </w:p>
        </w:tc>
      </w:tr>
      <w:tr>
        <w:tc>
          <w:tcPr>
            <w:tcW w:type="dxa" w:w="4680"/>
            <w:tcBorders>
              <w:top w:val="single" w:color="CBD5E1" w:sz="4"/>
              <w:left w:val="single" w:color="CBD5E1" w:sz="4"/>
              <w:bottom w:val="single" w:color="CBD5E1" w:sz="4"/>
              <w:right w:val="single" w:color="CBD5E1" w:sz="4"/>
            </w:tcBorders>
            <w:tcMar>
              <w:top w:type="dxa" w:w="140"/>
              <w:left w:type="dxa" w:w="180"/>
              <w:bottom w:type="dxa" w:w="140"/>
              <w:right w:type="dxa" w:w="180"/>
            </w:tcMar>
            <w:vAlign w:val="center"/>
          </w:tcPr>
          <w:p>
            <w:pPr>
              <w:spacing w:after="20" w:before="20"/>
              <w:jc w:val="left"/>
            </w:pPr>
            <w:r>
              <w:rPr>
                <w:rFonts w:ascii="Calibri" w:cs="Calibri" w:eastAsia="Calibri" w:hAnsi="Calibri"/>
                <w:b w:val="false"/>
                <w:bCs w:val="false"/>
                <w:color w:val="1F2937"/>
                <w:sz w:val="20"/>
                <w:szCs w:val="20"/>
              </w:rPr>
              <w:t xml:space="preserve">Send emails from a person's name.</w:t>
            </w:r>
          </w:p>
        </w:tc>
        <w:tc>
          <w:tcPr>
            <w:tcW w:type="dxa" w:w="4680"/>
            <w:tcBorders>
              <w:top w:val="single" w:color="CBD5E1" w:sz="4"/>
              <w:left w:val="single" w:color="CBD5E1" w:sz="4"/>
              <w:bottom w:val="single" w:color="CBD5E1" w:sz="4"/>
              <w:right w:val="single" w:color="CBD5E1" w:sz="4"/>
            </w:tcBorders>
            <w:tcMar>
              <w:top w:type="dxa" w:w="140"/>
              <w:left w:type="dxa" w:w="180"/>
              <w:bottom w:type="dxa" w:w="140"/>
              <w:right w:type="dxa" w:w="180"/>
            </w:tcMar>
            <w:vAlign w:val="center"/>
          </w:tcPr>
          <w:p>
            <w:pPr>
              <w:spacing w:after="20" w:before="20"/>
              <w:jc w:val="left"/>
            </w:pPr>
            <w:r>
              <w:rPr>
                <w:rFonts w:ascii="Calibri" w:cs="Calibri" w:eastAsia="Calibri" w:hAnsi="Calibri"/>
                <w:b w:val="false"/>
                <w:bCs w:val="false"/>
                <w:color w:val="475569"/>
                <w:sz w:val="20"/>
                <w:szCs w:val="20"/>
              </w:rPr>
              <w:t xml:space="preserve">Send from “no-reply@distancembacollege.com.”</w:t>
            </w:r>
          </w:p>
        </w:tc>
      </w:tr>
      <w:tr>
        <w:tc>
          <w:tcPr>
            <w:tcW w:type="dxa" w:w="4680"/>
            <w:tcBorders>
              <w:top w:val="single" w:color="CBD5E1" w:sz="4"/>
              <w:left w:val="single" w:color="CBD5E1" w:sz="4"/>
              <w:bottom w:val="single" w:color="CBD5E1" w:sz="4"/>
              <w:right w:val="single" w:color="CBD5E1" w:sz="4"/>
            </w:tcBorders>
            <w:tcMar>
              <w:top w:type="dxa" w:w="140"/>
              <w:left w:type="dxa" w:w="180"/>
              <w:bottom w:type="dxa" w:w="140"/>
              <w:right w:type="dxa" w:w="180"/>
            </w:tcMar>
            <w:vAlign w:val="center"/>
          </w:tcPr>
          <w:p>
            <w:pPr>
              <w:spacing w:after="20" w:before="20"/>
              <w:jc w:val="left"/>
            </w:pPr>
            <w:r>
              <w:rPr>
                <w:rFonts w:ascii="Calibri" w:cs="Calibri" w:eastAsia="Calibri" w:hAnsi="Calibri"/>
                <w:b w:val="false"/>
                <w:bCs w:val="false"/>
                <w:color w:val="1F2937"/>
                <w:sz w:val="20"/>
                <w:szCs w:val="20"/>
              </w:rPr>
              <w:t xml:space="preserve">Maintain Navy as the dominant identity colour.</w:t>
            </w:r>
          </w:p>
        </w:tc>
        <w:tc>
          <w:tcPr>
            <w:tcW w:type="dxa" w:w="4680"/>
            <w:tcBorders>
              <w:top w:val="single" w:color="CBD5E1" w:sz="4"/>
              <w:left w:val="single" w:color="CBD5E1" w:sz="4"/>
              <w:bottom w:val="single" w:color="CBD5E1" w:sz="4"/>
              <w:right w:val="single" w:color="CBD5E1" w:sz="4"/>
            </w:tcBorders>
            <w:tcMar>
              <w:top w:type="dxa" w:w="140"/>
              <w:left w:type="dxa" w:w="180"/>
              <w:bottom w:type="dxa" w:w="140"/>
              <w:right w:type="dxa" w:w="180"/>
            </w:tcMar>
            <w:vAlign w:val="center"/>
          </w:tcPr>
          <w:p>
            <w:pPr>
              <w:spacing w:after="20" w:before="20"/>
              <w:jc w:val="left"/>
            </w:pPr>
            <w:r>
              <w:rPr>
                <w:rFonts w:ascii="Calibri" w:cs="Calibri" w:eastAsia="Calibri" w:hAnsi="Calibri"/>
                <w:b w:val="false"/>
                <w:bCs w:val="false"/>
                <w:color w:val="475569"/>
                <w:sz w:val="20"/>
                <w:szCs w:val="20"/>
              </w:rPr>
              <w:t xml:space="preserve">Introduce red, purple, or competitor-blue accents.</w:t>
            </w:r>
          </w:p>
        </w:tc>
      </w:tr>
    </w:tbl>
    <w:p>
      <w:pPr>
        <w:pStyle w:val="Heading1"/>
        <w:pageBreakBefore/>
        <w:spacing w:after="200" w:before="360"/>
      </w:pPr>
      <w:r>
        <w:rPr>
          <w:rFonts w:ascii="Calibri" w:cs="Calibri" w:eastAsia="Calibri" w:hAnsi="Calibri"/>
          <w:b/>
          <w:bCs/>
          <w:color w:val="0B1F4D"/>
          <w:sz w:val="44"/>
          <w:szCs w:val="44"/>
        </w:rPr>
        <w:t xml:space="preserve">14  Implementation Roadmap</w:t>
      </w:r>
    </w:p>
    <w:p>
      <w:pPr>
        <w:spacing w:after="80" w:before="80" w:line="300"/>
        <w:jc w:val="left"/>
      </w:pPr>
      <w:r>
        <w:rPr>
          <w:rFonts w:ascii="Calibri" w:cs="Calibri" w:eastAsia="Calibri" w:hAnsi="Calibri"/>
          <w:b w:val="false"/>
          <w:bCs w:val="false"/>
          <w:i w:val="false"/>
          <w:iCs w:val="false"/>
          <w:color w:val="1F2937"/>
          <w:sz w:val="22"/>
          <w:szCs w:val="22"/>
        </w:rPr>
        <w:t xml:space="preserve">This guideline is meant to be applied in clear phases, not all at once. The order below sequences each move so that current lead flow (around 100/day) is protected throughout the transition.</w:t>
      </w:r>
    </w:p>
    <w:p>
      <w:pPr>
        <w:pStyle w:val="Heading2"/>
        <w:pBdr>
          <w:bottom w:val="single" w:color="E8930E" w:sz="6" w:space="4"/>
        </w:pBdr>
        <w:spacing w:after="140" w:before="280"/>
      </w:pPr>
      <w:r>
        <w:rPr>
          <w:rFonts w:ascii="Calibri" w:cs="Calibri" w:eastAsia="Calibri" w:hAnsi="Calibri"/>
          <w:b/>
          <w:bCs/>
          <w:color w:val="0B1F4D"/>
          <w:sz w:val="30"/>
          <w:szCs w:val="30"/>
        </w:rPr>
        <w:t xml:space="preserve">Phase 1 — Weeks 1 to 3: Foundation</w:t>
      </w:r>
    </w:p>
    <w:p>
      <w:pPr>
        <w:pStyle w:val="ListParagraph"/>
        <w:numPr>
          <w:ilvl w:val="0"/>
          <w:numId w:val="2"/>
        </w:numPr>
        <w:spacing w:after="40" w:before="40" w:line="300"/>
      </w:pPr>
      <w:r>
        <w:rPr>
          <w:rFonts w:ascii="Calibri" w:cs="Calibri" w:eastAsia="Calibri" w:hAnsi="Calibri"/>
          <w:b/>
          <w:bCs/>
          <w:color w:val="0B1F4D"/>
          <w:sz w:val="22"/>
          <w:szCs w:val="22"/>
        </w:rPr>
        <w:t xml:space="preserve">Logo rollout: </w:t>
      </w:r>
      <w:r>
        <w:rPr>
          <w:rFonts w:ascii="Calibri" w:cs="Calibri" w:eastAsia="Calibri" w:hAnsi="Calibri"/>
          <w:color w:val="1F2937"/>
          <w:sz w:val="22"/>
          <w:szCs w:val="22"/>
        </w:rPr>
        <w:t xml:space="preserve">Replace the existing logo with the refined primary lockup across the website header, footer, favicon, and social profiles. Use the monogram for WhatsApp Business and small avatars.</w:t>
      </w:r>
    </w:p>
    <w:p>
      <w:pPr>
        <w:pStyle w:val="ListParagraph"/>
        <w:numPr>
          <w:ilvl w:val="0"/>
          <w:numId w:val="2"/>
        </w:numPr>
        <w:spacing w:after="40" w:before="40" w:line="300"/>
      </w:pPr>
      <w:r>
        <w:rPr>
          <w:rFonts w:ascii="Calibri" w:cs="Calibri" w:eastAsia="Calibri" w:hAnsi="Calibri"/>
          <w:b/>
          <w:bCs/>
          <w:color w:val="0B1F4D"/>
          <w:sz w:val="22"/>
          <w:szCs w:val="22"/>
        </w:rPr>
        <w:t xml:space="preserve">Design tokens: </w:t>
      </w:r>
      <w:r>
        <w:rPr>
          <w:rFonts w:ascii="Calibri" w:cs="Calibri" w:eastAsia="Calibri" w:hAnsi="Calibri"/>
          <w:color w:val="1F2937"/>
          <w:sz w:val="22"/>
          <w:szCs w:val="22"/>
        </w:rPr>
        <w:t xml:space="preserve">Codify the colour, type, and spacing system as CSS variables and a Figma library. Hand off to development.</w:t>
      </w:r>
    </w:p>
    <w:p>
      <w:pPr>
        <w:pStyle w:val="ListParagraph"/>
        <w:numPr>
          <w:ilvl w:val="0"/>
          <w:numId w:val="2"/>
        </w:numPr>
        <w:spacing w:after="40" w:before="40" w:line="300"/>
      </w:pPr>
      <w:r>
        <w:rPr>
          <w:rFonts w:ascii="Calibri" w:cs="Calibri" w:eastAsia="Calibri" w:hAnsi="Calibri"/>
          <w:b/>
          <w:bCs/>
          <w:color w:val="0B1F4D"/>
          <w:sz w:val="22"/>
          <w:szCs w:val="22"/>
        </w:rPr>
        <w:t xml:space="preserve">Trust audit: </w:t>
      </w:r>
      <w:r>
        <w:rPr>
          <w:rFonts w:ascii="Calibri" w:cs="Calibri" w:eastAsia="Calibri" w:hAnsi="Calibri"/>
          <w:color w:val="1F2937"/>
          <w:sz w:val="22"/>
          <w:szCs w:val="22"/>
        </w:rPr>
        <w:t xml:space="preserve">Verify and update every accreditation claim with linked source. Replace stock photos with real photography brief.</w:t>
      </w:r>
    </w:p>
    <w:p>
      <w:pPr>
        <w:pStyle w:val="Heading2"/>
        <w:pBdr>
          <w:bottom w:val="single" w:color="E8930E" w:sz="6" w:space="4"/>
        </w:pBdr>
        <w:spacing w:after="140" w:before="280"/>
      </w:pPr>
      <w:r>
        <w:rPr>
          <w:rFonts w:ascii="Calibri" w:cs="Calibri" w:eastAsia="Calibri" w:hAnsi="Calibri"/>
          <w:b/>
          <w:bCs/>
          <w:color w:val="0B1F4D"/>
          <w:sz w:val="30"/>
          <w:szCs w:val="30"/>
        </w:rPr>
        <w:t xml:space="preserve">Phase 2 — Weeks 4 to 8: Web rebuild</w:t>
      </w:r>
    </w:p>
    <w:p>
      <w:pPr>
        <w:pStyle w:val="ListParagraph"/>
        <w:numPr>
          <w:ilvl w:val="0"/>
          <w:numId w:val="2"/>
        </w:numPr>
        <w:spacing w:after="40" w:before="40" w:line="300"/>
      </w:pPr>
      <w:r>
        <w:rPr>
          <w:rFonts w:ascii="Calibri" w:cs="Calibri" w:eastAsia="Calibri" w:hAnsi="Calibri"/>
          <w:b/>
          <w:bCs/>
          <w:color w:val="0B1F4D"/>
          <w:sz w:val="22"/>
          <w:szCs w:val="22"/>
        </w:rPr>
        <w:t xml:space="preserve">Homepage: </w:t>
      </w:r>
      <w:r>
        <w:rPr>
          <w:rFonts w:ascii="Calibri" w:cs="Calibri" w:eastAsia="Calibri" w:hAnsi="Calibri"/>
          <w:color w:val="1F2937"/>
          <w:sz w:val="22"/>
          <w:szCs w:val="22"/>
        </w:rPr>
        <w:t xml:space="preserve">New hero matching the application example. Restructured trust elements, simplified lead form, counsellor introduction.</w:t>
      </w:r>
    </w:p>
    <w:p>
      <w:pPr>
        <w:pStyle w:val="ListParagraph"/>
        <w:numPr>
          <w:ilvl w:val="0"/>
          <w:numId w:val="2"/>
        </w:numPr>
        <w:spacing w:after="40" w:before="40" w:line="300"/>
      </w:pPr>
      <w:r>
        <w:rPr>
          <w:rFonts w:ascii="Calibri" w:cs="Calibri" w:eastAsia="Calibri" w:hAnsi="Calibri"/>
          <w:b/>
          <w:bCs/>
          <w:color w:val="0B1F4D"/>
          <w:sz w:val="22"/>
          <w:szCs w:val="22"/>
        </w:rPr>
        <w:t xml:space="preserve">Course and university templates: </w:t>
      </w:r>
      <w:r>
        <w:rPr>
          <w:rFonts w:ascii="Calibri" w:cs="Calibri" w:eastAsia="Calibri" w:hAnsi="Calibri"/>
          <w:color w:val="1F2937"/>
          <w:sz w:val="22"/>
          <w:szCs w:val="22"/>
        </w:rPr>
        <w:t xml:space="preserve">Rebuild as the card-led directory with consistent metadata and CTAs.</w:t>
      </w:r>
    </w:p>
    <w:p>
      <w:pPr>
        <w:pStyle w:val="ListParagraph"/>
        <w:numPr>
          <w:ilvl w:val="0"/>
          <w:numId w:val="2"/>
        </w:numPr>
        <w:spacing w:after="40" w:before="40" w:line="300"/>
      </w:pPr>
      <w:r>
        <w:rPr>
          <w:rFonts w:ascii="Calibri" w:cs="Calibri" w:eastAsia="Calibri" w:hAnsi="Calibri"/>
          <w:b/>
          <w:bCs/>
          <w:color w:val="0B1F4D"/>
          <w:sz w:val="22"/>
          <w:szCs w:val="22"/>
        </w:rPr>
        <w:t xml:space="preserve">Blog template: </w:t>
      </w:r>
      <w:r>
        <w:rPr>
          <w:rFonts w:ascii="Calibri" w:cs="Calibri" w:eastAsia="Calibri" w:hAnsi="Calibri"/>
          <w:color w:val="1F2937"/>
          <w:sz w:val="22"/>
          <w:szCs w:val="22"/>
        </w:rPr>
        <w:t xml:space="preserve">Apply the new typography. Rewrite the top 20 traffic pages to a single tonal standard before scaling new content.</w:t>
      </w:r>
    </w:p>
    <w:p>
      <w:pPr>
        <w:pStyle w:val="ListParagraph"/>
        <w:numPr>
          <w:ilvl w:val="0"/>
          <w:numId w:val="2"/>
        </w:numPr>
        <w:spacing w:after="40" w:before="40" w:line="300"/>
      </w:pPr>
      <w:r>
        <w:rPr>
          <w:rFonts w:ascii="Calibri" w:cs="Calibri" w:eastAsia="Calibri" w:hAnsi="Calibri"/>
          <w:b/>
          <w:bCs/>
          <w:color w:val="0B1F4D"/>
          <w:sz w:val="22"/>
          <w:szCs w:val="22"/>
        </w:rPr>
        <w:t xml:space="preserve">Performance pass: </w:t>
      </w:r>
      <w:r>
        <w:rPr>
          <w:rFonts w:ascii="Calibri" w:cs="Calibri" w:eastAsia="Calibri" w:hAnsi="Calibri"/>
          <w:color w:val="1F2937"/>
          <w:sz w:val="22"/>
          <w:szCs w:val="22"/>
        </w:rPr>
        <w:t xml:space="preserve">Core Web Vitals targets. LCP under 2.5s, INP under 200ms, CLS under 0.1.</w:t>
      </w:r>
    </w:p>
    <w:p>
      <w:pPr>
        <w:pStyle w:val="Heading2"/>
        <w:pBdr>
          <w:bottom w:val="single" w:color="E8930E" w:sz="6" w:space="4"/>
        </w:pBdr>
        <w:spacing w:after="140" w:before="280"/>
      </w:pPr>
      <w:r>
        <w:rPr>
          <w:rFonts w:ascii="Calibri" w:cs="Calibri" w:eastAsia="Calibri" w:hAnsi="Calibri"/>
          <w:b/>
          <w:bCs/>
          <w:color w:val="0B1F4D"/>
          <w:sz w:val="30"/>
          <w:szCs w:val="30"/>
        </w:rPr>
        <w:t xml:space="preserve">Phase 3 — Weeks 9 to 14: Marketing rollout</w:t>
      </w:r>
    </w:p>
    <w:p>
      <w:pPr>
        <w:pStyle w:val="ListParagraph"/>
        <w:numPr>
          <w:ilvl w:val="0"/>
          <w:numId w:val="2"/>
        </w:numPr>
        <w:spacing w:after="40" w:before="40" w:line="300"/>
      </w:pPr>
      <w:r>
        <w:rPr>
          <w:rFonts w:ascii="Calibri" w:cs="Calibri" w:eastAsia="Calibri" w:hAnsi="Calibri"/>
          <w:b/>
          <w:bCs/>
          <w:color w:val="0B1F4D"/>
          <w:sz w:val="22"/>
          <w:szCs w:val="22"/>
        </w:rPr>
        <w:t xml:space="preserve">One-pager production: </w:t>
      </w:r>
      <w:r>
        <w:rPr>
          <w:rFonts w:ascii="Calibri" w:cs="Calibri" w:eastAsia="Calibri" w:hAnsi="Calibri"/>
          <w:color w:val="1F2937"/>
          <w:sz w:val="22"/>
          <w:szCs w:val="22"/>
        </w:rPr>
        <w:t xml:space="preserve">Print 500 of the A4 one-pager for partnership outreach. Distribute the digital PDF to corporate L&amp;D teams.</w:t>
      </w:r>
    </w:p>
    <w:p>
      <w:pPr>
        <w:pStyle w:val="ListParagraph"/>
        <w:numPr>
          <w:ilvl w:val="0"/>
          <w:numId w:val="2"/>
        </w:numPr>
        <w:spacing w:after="40" w:before="40" w:line="300"/>
      </w:pPr>
      <w:r>
        <w:rPr>
          <w:rFonts w:ascii="Calibri" w:cs="Calibri" w:eastAsia="Calibri" w:hAnsi="Calibri"/>
          <w:b/>
          <w:bCs/>
          <w:color w:val="0B1F4D"/>
          <w:sz w:val="22"/>
          <w:szCs w:val="22"/>
        </w:rPr>
        <w:t xml:space="preserve">Email overhaul: </w:t>
      </w:r>
      <w:r>
        <w:rPr>
          <w:rFonts w:ascii="Calibri" w:cs="Calibri" w:eastAsia="Calibri" w:hAnsi="Calibri"/>
          <w:color w:val="1F2937"/>
          <w:sz w:val="22"/>
          <w:szCs w:val="22"/>
        </w:rPr>
        <w:t xml:space="preserve">Move from brand-sent to counsellor-sent. Rewrite the welcome sequence using the email template provided.</w:t>
      </w:r>
    </w:p>
    <w:p>
      <w:pPr>
        <w:pStyle w:val="ListParagraph"/>
        <w:numPr>
          <w:ilvl w:val="0"/>
          <w:numId w:val="2"/>
        </w:numPr>
        <w:spacing w:after="40" w:before="40" w:line="300"/>
      </w:pPr>
      <w:r>
        <w:rPr>
          <w:rFonts w:ascii="Calibri" w:cs="Calibri" w:eastAsia="Calibri" w:hAnsi="Calibri"/>
          <w:b/>
          <w:bCs/>
          <w:color w:val="0B1F4D"/>
          <w:sz w:val="22"/>
          <w:szCs w:val="22"/>
        </w:rPr>
        <w:t xml:space="preserve">Paid creative refresh: </w:t>
      </w:r>
      <w:r>
        <w:rPr>
          <w:rFonts w:ascii="Calibri" w:cs="Calibri" w:eastAsia="Calibri" w:hAnsi="Calibri"/>
          <w:color w:val="1F2937"/>
          <w:sz w:val="22"/>
          <w:szCs w:val="22"/>
        </w:rPr>
        <w:t xml:space="preserve">Rebuild all active Meta and Google creatives on the new template. Run a 30-day A/B against the old to measure lift.</w:t>
      </w:r>
    </w:p>
    <w:p>
      <w:pPr>
        <w:pStyle w:val="ListParagraph"/>
        <w:numPr>
          <w:ilvl w:val="0"/>
          <w:numId w:val="2"/>
        </w:numPr>
        <w:spacing w:after="40" w:before="40" w:line="300"/>
      </w:pPr>
      <w:r>
        <w:rPr>
          <w:rFonts w:ascii="Calibri" w:cs="Calibri" w:eastAsia="Calibri" w:hAnsi="Calibri"/>
          <w:b/>
          <w:bCs/>
          <w:color w:val="0B1F4D"/>
          <w:sz w:val="22"/>
          <w:szCs w:val="22"/>
        </w:rPr>
        <w:t xml:space="preserve">Social establishment: </w:t>
      </w:r>
      <w:r>
        <w:rPr>
          <w:rFonts w:ascii="Calibri" w:cs="Calibri" w:eastAsia="Calibri" w:hAnsi="Calibri"/>
          <w:color w:val="1F2937"/>
          <w:sz w:val="22"/>
          <w:szCs w:val="22"/>
        </w:rPr>
        <w:t xml:space="preserve">Launch the content calendar across Instagram and LinkedIn with the new visual template.</w:t>
      </w:r>
    </w:p>
    <w:p>
      <w:pPr>
        <w:pStyle w:val="Heading2"/>
        <w:pBdr>
          <w:bottom w:val="single" w:color="E8930E" w:sz="6" w:space="4"/>
        </w:pBdr>
        <w:spacing w:after="140" w:before="280"/>
      </w:pPr>
      <w:r>
        <w:rPr>
          <w:rFonts w:ascii="Calibri" w:cs="Calibri" w:eastAsia="Calibri" w:hAnsi="Calibri"/>
          <w:b/>
          <w:bCs/>
          <w:color w:val="0B1F4D"/>
          <w:sz w:val="30"/>
          <w:szCs w:val="30"/>
        </w:rPr>
        <w:t xml:space="preserve">Phase 4 — Ongoing</w:t>
      </w:r>
    </w:p>
    <w:p>
      <w:pPr>
        <w:pStyle w:val="ListParagraph"/>
        <w:numPr>
          <w:ilvl w:val="0"/>
          <w:numId w:val="2"/>
        </w:numPr>
        <w:spacing w:after="40" w:before="40" w:line="300"/>
      </w:pPr>
      <w:r>
        <w:rPr>
          <w:rFonts w:ascii="Calibri" w:cs="Calibri" w:eastAsia="Calibri" w:hAnsi="Calibri"/>
          <w:b/>
          <w:bCs/>
          <w:color w:val="0B1F4D"/>
          <w:sz w:val="22"/>
          <w:szCs w:val="22"/>
        </w:rPr>
        <w:t xml:space="preserve">Monthly brand review: </w:t>
      </w:r>
      <w:r>
        <w:rPr>
          <w:rFonts w:ascii="Calibri" w:cs="Calibri" w:eastAsia="Calibri" w:hAnsi="Calibri"/>
          <w:color w:val="1F2937"/>
          <w:sz w:val="22"/>
          <w:szCs w:val="22"/>
        </w:rPr>
        <w:t xml:space="preserve">30 minute team review of where the brand was applied well and where it slipped. Document and correct.</w:t>
      </w:r>
    </w:p>
    <w:p>
      <w:pPr>
        <w:pStyle w:val="ListParagraph"/>
        <w:numPr>
          <w:ilvl w:val="0"/>
          <w:numId w:val="2"/>
        </w:numPr>
        <w:spacing w:after="40" w:before="40" w:line="300"/>
      </w:pPr>
      <w:r>
        <w:rPr>
          <w:rFonts w:ascii="Calibri" w:cs="Calibri" w:eastAsia="Calibri" w:hAnsi="Calibri"/>
          <w:b/>
          <w:bCs/>
          <w:color w:val="0B1F4D"/>
          <w:sz w:val="22"/>
          <w:szCs w:val="22"/>
        </w:rPr>
        <w:t xml:space="preserve">Quarterly content quality pass: </w:t>
      </w:r>
      <w:r>
        <w:rPr>
          <w:rFonts w:ascii="Calibri" w:cs="Calibri" w:eastAsia="Calibri" w:hAnsi="Calibri"/>
          <w:color w:val="1F2937"/>
          <w:sz w:val="22"/>
          <w:szCs w:val="22"/>
        </w:rPr>
        <w:t xml:space="preserve">Audit 10 pages per quarter for tonal drift, factual accuracy, and conversion performance.</w:t>
      </w:r>
    </w:p>
    <w:p>
      <w:pPr>
        <w:pStyle w:val="ListParagraph"/>
        <w:numPr>
          <w:ilvl w:val="0"/>
          <w:numId w:val="2"/>
        </w:numPr>
        <w:spacing w:after="40" w:before="40" w:line="300"/>
      </w:pPr>
      <w:r>
        <w:rPr>
          <w:rFonts w:ascii="Calibri" w:cs="Calibri" w:eastAsia="Calibri" w:hAnsi="Calibri"/>
          <w:b/>
          <w:bCs/>
          <w:color w:val="0B1F4D"/>
          <w:sz w:val="22"/>
          <w:szCs w:val="22"/>
        </w:rPr>
        <w:t xml:space="preserve">Annual guideline update: </w:t>
      </w:r>
      <w:r>
        <w:rPr>
          <w:rFonts w:ascii="Calibri" w:cs="Calibri" w:eastAsia="Calibri" w:hAnsi="Calibri"/>
          <w:color w:val="1F2937"/>
          <w:sz w:val="22"/>
          <w:szCs w:val="22"/>
        </w:rPr>
        <w:t xml:space="preserve">Revise this document once per year. Brand guidelines that do not evolve become brand guidelines that get ignored.</w:t>
      </w:r>
    </w:p>
    <w:p>
      <w:pPr>
        <w:pStyle w:val="Heading1"/>
        <w:pageBreakBefore/>
        <w:spacing w:after="200" w:before="360"/>
      </w:pPr>
      <w:r>
        <w:rPr>
          <w:rFonts w:ascii="Calibri" w:cs="Calibri" w:eastAsia="Calibri" w:hAnsi="Calibri"/>
          <w:b/>
          <w:bCs/>
          <w:color w:val="0B1F4D"/>
          <w:sz w:val="44"/>
          <w:szCs w:val="44"/>
        </w:rPr>
        <w:t xml:space="preserve">15  Governance and Contact</w:t>
      </w:r>
    </w:p>
    <w:p>
      <w:pPr>
        <w:spacing w:after="80" w:before="80" w:line="300"/>
        <w:jc w:val="left"/>
      </w:pPr>
      <w:r>
        <w:rPr>
          <w:rFonts w:ascii="Calibri" w:cs="Calibri" w:eastAsia="Calibri" w:hAnsi="Calibri"/>
          <w:b w:val="false"/>
          <w:bCs w:val="false"/>
          <w:i w:val="false"/>
          <w:iCs w:val="false"/>
          <w:color w:val="1F2937"/>
          <w:sz w:val="22"/>
          <w:szCs w:val="22"/>
        </w:rPr>
        <w:t xml:space="preserve">This document is owned by the Director, Mr. Swapnil Avdhutrao Ughade, and the appointed brand custodian within MagicWorks IT Solutions. No change to the logo, colour palette, typography, or positioning statement may be made without sign-off from the brand custodian.</w:t>
      </w:r>
    </w:p>
    <w:p>
      <w:pPr>
        <w:spacing w:after="80" w:before="80" w:line="300"/>
        <w:jc w:val="left"/>
      </w:pPr>
      <w:r>
        <w:rPr>
          <w:rFonts w:ascii="Calibri" w:cs="Calibri" w:eastAsia="Calibri" w:hAnsi="Calibri"/>
          <w:b w:val="false"/>
          <w:bCs w:val="false"/>
          <w:i w:val="false"/>
          <w:iCs w:val="false"/>
          <w:color w:val="1F2937"/>
          <w:sz w:val="22"/>
          <w:szCs w:val="22"/>
        </w:rPr>
        <w:t xml:space="preserve">External vendors (designers, developers, agencies, content creators) must be issued this document at the start of any engagement. Their work will be reviewed against these standards before publication.</w:t>
      </w:r>
    </w:p>
    <w:p>
      <w:pPr>
        <w:pStyle w:val="Heading2"/>
        <w:pBdr>
          <w:bottom w:val="single" w:color="E8930E" w:sz="6" w:space="4"/>
        </w:pBdr>
        <w:spacing w:after="140" w:before="280"/>
      </w:pPr>
      <w:r>
        <w:rPr>
          <w:rFonts w:ascii="Calibri" w:cs="Calibri" w:eastAsia="Calibri" w:hAnsi="Calibri"/>
          <w:b/>
          <w:bCs/>
          <w:color w:val="0B1F4D"/>
          <w:sz w:val="30"/>
          <w:szCs w:val="30"/>
        </w:rPr>
        <w:t xml:space="preserve">Quick-reference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CBD5E1" w:sz="4"/>
              <w:left w:val="single" w:color="CBD5E1" w:sz="4"/>
              <w:bottom w:val="single" w:color="CBD5E1" w:sz="4"/>
              <w:right w:val="single" w:color="CBD5E1" w:sz="4"/>
            </w:tcBorders>
            <w:shd w:fill="F1F5F9" w:val="clear"/>
            <w:tcMar>
              <w:top w:type="dxa" w:w="140"/>
              <w:left w:type="dxa" w:w="180"/>
              <w:bottom w:type="dxa" w:w="140"/>
              <w:right w:type="dxa" w:w="180"/>
            </w:tcMar>
            <w:vAlign w:val="center"/>
          </w:tcPr>
          <w:p>
            <w:pPr>
              <w:spacing w:after="20" w:before="20"/>
              <w:jc w:val="left"/>
            </w:pPr>
            <w:r>
              <w:rPr>
                <w:rFonts w:ascii="Calibri" w:cs="Calibri" w:eastAsia="Calibri" w:hAnsi="Calibri"/>
                <w:b/>
                <w:bCs/>
                <w:color w:val="1F2937"/>
                <w:sz w:val="20"/>
                <w:szCs w:val="20"/>
              </w:rPr>
              <w:t xml:space="preserve">Primary colour</w:t>
            </w:r>
          </w:p>
        </w:tc>
        <w:tc>
          <w:tcPr>
            <w:tcW w:type="dxa" w:w="6660"/>
            <w:tcBorders>
              <w:top w:val="single" w:color="CBD5E1" w:sz="4"/>
              <w:left w:val="single" w:color="CBD5E1" w:sz="4"/>
              <w:bottom w:val="single" w:color="CBD5E1" w:sz="4"/>
              <w:right w:val="single" w:color="CBD5E1" w:sz="4"/>
            </w:tcBorders>
            <w:tcMar>
              <w:top w:type="dxa" w:w="140"/>
              <w:left w:type="dxa" w:w="180"/>
              <w:bottom w:type="dxa" w:w="140"/>
              <w:right w:type="dxa" w:w="180"/>
            </w:tcMar>
            <w:vAlign w:val="center"/>
          </w:tcPr>
          <w:p>
            <w:pPr>
              <w:spacing w:after="20" w:before="20"/>
              <w:jc w:val="left"/>
            </w:pPr>
            <w:r>
              <w:rPr>
                <w:rFonts w:ascii="Calibri" w:cs="Calibri" w:eastAsia="Calibri" w:hAnsi="Calibri"/>
                <w:b/>
                <w:bCs/>
                <w:color w:val="0B1F4D"/>
                <w:sz w:val="20"/>
                <w:szCs w:val="20"/>
              </w:rPr>
              <w:t xml:space="preserve">Navy  #0B1F4D</w:t>
            </w:r>
          </w:p>
        </w:tc>
      </w:tr>
      <w:tr>
        <w:tc>
          <w:tcPr>
            <w:tcW w:type="dxa" w:w="2700"/>
            <w:tcBorders>
              <w:top w:val="single" w:color="CBD5E1" w:sz="4"/>
              <w:left w:val="single" w:color="CBD5E1" w:sz="4"/>
              <w:bottom w:val="single" w:color="CBD5E1" w:sz="4"/>
              <w:right w:val="single" w:color="CBD5E1" w:sz="4"/>
            </w:tcBorders>
            <w:shd w:fill="F1F5F9" w:val="clear"/>
            <w:tcMar>
              <w:top w:type="dxa" w:w="140"/>
              <w:left w:type="dxa" w:w="180"/>
              <w:bottom w:type="dxa" w:w="140"/>
              <w:right w:type="dxa" w:w="180"/>
            </w:tcMar>
            <w:vAlign w:val="center"/>
          </w:tcPr>
          <w:p>
            <w:pPr>
              <w:spacing w:after="20" w:before="20"/>
              <w:jc w:val="left"/>
            </w:pPr>
            <w:r>
              <w:rPr>
                <w:rFonts w:ascii="Calibri" w:cs="Calibri" w:eastAsia="Calibri" w:hAnsi="Calibri"/>
                <w:b/>
                <w:bCs/>
                <w:color w:val="1F2937"/>
                <w:sz w:val="20"/>
                <w:szCs w:val="20"/>
              </w:rPr>
              <w:t xml:space="preserve">Accent colour</w:t>
            </w:r>
          </w:p>
        </w:tc>
        <w:tc>
          <w:tcPr>
            <w:tcW w:type="dxa" w:w="6660"/>
            <w:tcBorders>
              <w:top w:val="single" w:color="CBD5E1" w:sz="4"/>
              <w:left w:val="single" w:color="CBD5E1" w:sz="4"/>
              <w:bottom w:val="single" w:color="CBD5E1" w:sz="4"/>
              <w:right w:val="single" w:color="CBD5E1" w:sz="4"/>
            </w:tcBorders>
            <w:tcMar>
              <w:top w:type="dxa" w:w="140"/>
              <w:left w:type="dxa" w:w="180"/>
              <w:bottom w:type="dxa" w:w="140"/>
              <w:right w:type="dxa" w:w="180"/>
            </w:tcMar>
            <w:vAlign w:val="center"/>
          </w:tcPr>
          <w:p>
            <w:pPr>
              <w:spacing w:after="20" w:before="20"/>
              <w:jc w:val="left"/>
            </w:pPr>
            <w:r>
              <w:rPr>
                <w:rFonts w:ascii="Calibri" w:cs="Calibri" w:eastAsia="Calibri" w:hAnsi="Calibri"/>
                <w:b/>
                <w:bCs/>
                <w:color w:val="E8930E"/>
                <w:sz w:val="20"/>
                <w:szCs w:val="20"/>
              </w:rPr>
              <w:t xml:space="preserve">Saffron  #E8930E</w:t>
            </w:r>
          </w:p>
        </w:tc>
      </w:tr>
      <w:tr>
        <w:tc>
          <w:tcPr>
            <w:tcW w:type="dxa" w:w="2700"/>
            <w:tcBorders>
              <w:top w:val="single" w:color="CBD5E1" w:sz="4"/>
              <w:left w:val="single" w:color="CBD5E1" w:sz="4"/>
              <w:bottom w:val="single" w:color="CBD5E1" w:sz="4"/>
              <w:right w:val="single" w:color="CBD5E1" w:sz="4"/>
            </w:tcBorders>
            <w:shd w:fill="F1F5F9" w:val="clear"/>
            <w:tcMar>
              <w:top w:type="dxa" w:w="140"/>
              <w:left w:type="dxa" w:w="180"/>
              <w:bottom w:type="dxa" w:w="140"/>
              <w:right w:type="dxa" w:w="180"/>
            </w:tcMar>
            <w:vAlign w:val="center"/>
          </w:tcPr>
          <w:p>
            <w:pPr>
              <w:spacing w:after="20" w:before="20"/>
              <w:jc w:val="left"/>
            </w:pPr>
            <w:r>
              <w:rPr>
                <w:rFonts w:ascii="Calibri" w:cs="Calibri" w:eastAsia="Calibri" w:hAnsi="Calibri"/>
                <w:b/>
                <w:bCs/>
                <w:color w:val="1F2937"/>
                <w:sz w:val="20"/>
                <w:szCs w:val="20"/>
              </w:rPr>
              <w:t xml:space="preserve">Heading &amp; logo font</w:t>
            </w:r>
          </w:p>
        </w:tc>
        <w:tc>
          <w:tcPr>
            <w:tcW w:type="dxa" w:w="6660"/>
            <w:tcBorders>
              <w:top w:val="single" w:color="CBD5E1" w:sz="4"/>
              <w:left w:val="single" w:color="CBD5E1" w:sz="4"/>
              <w:bottom w:val="single" w:color="CBD5E1" w:sz="4"/>
              <w:right w:val="single" w:color="CBD5E1" w:sz="4"/>
            </w:tcBorders>
            <w:tcMar>
              <w:top w:type="dxa" w:w="140"/>
              <w:left w:type="dxa" w:w="180"/>
              <w:bottom w:type="dxa" w:w="140"/>
              <w:right w:type="dxa" w:w="180"/>
            </w:tcMar>
            <w:vAlign w:val="center"/>
          </w:tcPr>
          <w:p>
            <w:pPr>
              <w:spacing w:after="20" w:before="20"/>
              <w:jc w:val="left"/>
            </w:pPr>
            <w:r>
              <w:rPr>
                <w:rFonts w:ascii="Calibri" w:cs="Calibri" w:eastAsia="Calibri" w:hAnsi="Calibri"/>
                <w:b w:val="false"/>
                <w:bCs w:val="false"/>
                <w:color w:val="1F2937"/>
                <w:sz w:val="20"/>
                <w:szCs w:val="20"/>
              </w:rPr>
              <w:t xml:space="preserve">Poppins (Google Fonts) — 500, 600, 700</w:t>
            </w:r>
          </w:p>
        </w:tc>
      </w:tr>
      <w:tr>
        <w:tc>
          <w:tcPr>
            <w:tcW w:type="dxa" w:w="2700"/>
            <w:tcBorders>
              <w:top w:val="single" w:color="CBD5E1" w:sz="4"/>
              <w:left w:val="single" w:color="CBD5E1" w:sz="4"/>
              <w:bottom w:val="single" w:color="CBD5E1" w:sz="4"/>
              <w:right w:val="single" w:color="CBD5E1" w:sz="4"/>
            </w:tcBorders>
            <w:shd w:fill="F1F5F9" w:val="clear"/>
            <w:tcMar>
              <w:top w:type="dxa" w:w="140"/>
              <w:left w:type="dxa" w:w="180"/>
              <w:bottom w:type="dxa" w:w="140"/>
              <w:right w:type="dxa" w:w="180"/>
            </w:tcMar>
            <w:vAlign w:val="center"/>
          </w:tcPr>
          <w:p>
            <w:pPr>
              <w:spacing w:after="20" w:before="20"/>
              <w:jc w:val="left"/>
            </w:pPr>
            <w:r>
              <w:rPr>
                <w:rFonts w:ascii="Calibri" w:cs="Calibri" w:eastAsia="Calibri" w:hAnsi="Calibri"/>
                <w:b/>
                <w:bCs/>
                <w:color w:val="1F2937"/>
                <w:sz w:val="20"/>
                <w:szCs w:val="20"/>
              </w:rPr>
              <w:t xml:space="preserve">Body font</w:t>
            </w:r>
          </w:p>
        </w:tc>
        <w:tc>
          <w:tcPr>
            <w:tcW w:type="dxa" w:w="6660"/>
            <w:tcBorders>
              <w:top w:val="single" w:color="CBD5E1" w:sz="4"/>
              <w:left w:val="single" w:color="CBD5E1" w:sz="4"/>
              <w:bottom w:val="single" w:color="CBD5E1" w:sz="4"/>
              <w:right w:val="single" w:color="CBD5E1" w:sz="4"/>
            </w:tcBorders>
            <w:tcMar>
              <w:top w:type="dxa" w:w="140"/>
              <w:left w:type="dxa" w:w="180"/>
              <w:bottom w:type="dxa" w:w="140"/>
              <w:right w:type="dxa" w:w="180"/>
            </w:tcMar>
            <w:vAlign w:val="center"/>
          </w:tcPr>
          <w:p>
            <w:pPr>
              <w:spacing w:after="20" w:before="20"/>
              <w:jc w:val="left"/>
            </w:pPr>
            <w:r>
              <w:rPr>
                <w:rFonts w:ascii="Calibri" w:cs="Calibri" w:eastAsia="Calibri" w:hAnsi="Calibri"/>
                <w:b w:val="false"/>
                <w:bCs w:val="false"/>
                <w:color w:val="1F2937"/>
                <w:sz w:val="20"/>
                <w:szCs w:val="20"/>
              </w:rPr>
              <w:t xml:space="preserve">Inter (Google Fonts) — 400, 500, 600</w:t>
            </w:r>
          </w:p>
        </w:tc>
      </w:tr>
      <w:tr>
        <w:tc>
          <w:tcPr>
            <w:tcW w:type="dxa" w:w="2700"/>
            <w:tcBorders>
              <w:top w:val="single" w:color="CBD5E1" w:sz="4"/>
              <w:left w:val="single" w:color="CBD5E1" w:sz="4"/>
              <w:bottom w:val="single" w:color="CBD5E1" w:sz="4"/>
              <w:right w:val="single" w:color="CBD5E1" w:sz="4"/>
            </w:tcBorders>
            <w:shd w:fill="F1F5F9" w:val="clear"/>
            <w:tcMar>
              <w:top w:type="dxa" w:w="140"/>
              <w:left w:type="dxa" w:w="180"/>
              <w:bottom w:type="dxa" w:w="140"/>
              <w:right w:type="dxa" w:w="180"/>
            </w:tcMar>
            <w:vAlign w:val="center"/>
          </w:tcPr>
          <w:p>
            <w:pPr>
              <w:spacing w:after="20" w:before="20"/>
              <w:jc w:val="left"/>
            </w:pPr>
            <w:r>
              <w:rPr>
                <w:rFonts w:ascii="Calibri" w:cs="Calibri" w:eastAsia="Calibri" w:hAnsi="Calibri"/>
                <w:b/>
                <w:bCs/>
                <w:color w:val="1F2937"/>
                <w:sz w:val="20"/>
                <w:szCs w:val="20"/>
              </w:rPr>
              <w:t xml:space="preserve">Voice font</w:t>
            </w:r>
          </w:p>
        </w:tc>
        <w:tc>
          <w:tcPr>
            <w:tcW w:type="dxa" w:w="6660"/>
            <w:tcBorders>
              <w:top w:val="single" w:color="CBD5E1" w:sz="4"/>
              <w:left w:val="single" w:color="CBD5E1" w:sz="4"/>
              <w:bottom w:val="single" w:color="CBD5E1" w:sz="4"/>
              <w:right w:val="single" w:color="CBD5E1" w:sz="4"/>
            </w:tcBorders>
            <w:tcMar>
              <w:top w:type="dxa" w:w="140"/>
              <w:left w:type="dxa" w:w="180"/>
              <w:bottom w:type="dxa" w:w="140"/>
              <w:right w:type="dxa" w:w="180"/>
            </w:tcMar>
            <w:vAlign w:val="center"/>
          </w:tcPr>
          <w:p>
            <w:pPr>
              <w:spacing w:after="20" w:before="20"/>
              <w:jc w:val="left"/>
            </w:pPr>
            <w:r>
              <w:rPr>
                <w:rFonts w:ascii="Calibri" w:cs="Calibri" w:eastAsia="Calibri" w:hAnsi="Calibri"/>
                <w:b w:val="false"/>
                <w:bCs w:val="false"/>
                <w:color w:val="1F2937"/>
                <w:sz w:val="20"/>
                <w:szCs w:val="20"/>
              </w:rPr>
              <w:t xml:space="preserve">Lora italic (Google Fonts)</w:t>
            </w:r>
          </w:p>
        </w:tc>
      </w:tr>
      <w:tr>
        <w:tc>
          <w:tcPr>
            <w:tcW w:type="dxa" w:w="2700"/>
            <w:tcBorders>
              <w:top w:val="single" w:color="CBD5E1" w:sz="4"/>
              <w:left w:val="single" w:color="CBD5E1" w:sz="4"/>
              <w:bottom w:val="single" w:color="CBD5E1" w:sz="4"/>
              <w:right w:val="single" w:color="CBD5E1" w:sz="4"/>
            </w:tcBorders>
            <w:shd w:fill="F1F5F9" w:val="clear"/>
            <w:tcMar>
              <w:top w:type="dxa" w:w="140"/>
              <w:left w:type="dxa" w:w="180"/>
              <w:bottom w:type="dxa" w:w="140"/>
              <w:right w:type="dxa" w:w="180"/>
            </w:tcMar>
            <w:vAlign w:val="center"/>
          </w:tcPr>
          <w:p>
            <w:pPr>
              <w:spacing w:after="20" w:before="20"/>
              <w:jc w:val="left"/>
            </w:pPr>
            <w:r>
              <w:rPr>
                <w:rFonts w:ascii="Calibri" w:cs="Calibri" w:eastAsia="Calibri" w:hAnsi="Calibri"/>
                <w:b/>
                <w:bCs/>
                <w:color w:val="1F2937"/>
                <w:sz w:val="20"/>
                <w:szCs w:val="20"/>
              </w:rPr>
              <w:t xml:space="preserve">Primary tagline</w:t>
            </w:r>
          </w:p>
        </w:tc>
        <w:tc>
          <w:tcPr>
            <w:tcW w:type="dxa" w:w="6660"/>
            <w:tcBorders>
              <w:top w:val="single" w:color="CBD5E1" w:sz="4"/>
              <w:left w:val="single" w:color="CBD5E1" w:sz="4"/>
              <w:bottom w:val="single" w:color="CBD5E1" w:sz="4"/>
              <w:right w:val="single" w:color="CBD5E1" w:sz="4"/>
            </w:tcBorders>
            <w:tcMar>
              <w:top w:type="dxa" w:w="140"/>
              <w:left w:type="dxa" w:w="180"/>
              <w:bottom w:type="dxa" w:w="140"/>
              <w:right w:type="dxa" w:w="180"/>
            </w:tcMar>
            <w:vAlign w:val="center"/>
          </w:tcPr>
          <w:p>
            <w:pPr>
              <w:spacing w:after="20" w:before="20"/>
              <w:jc w:val="left"/>
            </w:pPr>
            <w:r>
              <w:rPr>
                <w:rFonts w:ascii="Calibri" w:cs="Calibri" w:eastAsia="Calibri" w:hAnsi="Calibri"/>
                <w:b/>
                <w:bCs/>
                <w:color w:val="1F2937"/>
                <w:sz w:val="20"/>
                <w:szCs w:val="20"/>
              </w:rPr>
              <w:t xml:space="preserve">Your Future. One Smart Step Away.</w:t>
            </w:r>
          </w:p>
        </w:tc>
      </w:tr>
      <w:tr>
        <w:tc>
          <w:tcPr>
            <w:tcW w:type="dxa" w:w="2700"/>
            <w:tcBorders>
              <w:top w:val="single" w:color="CBD5E1" w:sz="4"/>
              <w:left w:val="single" w:color="CBD5E1" w:sz="4"/>
              <w:bottom w:val="single" w:color="CBD5E1" w:sz="4"/>
              <w:right w:val="single" w:color="CBD5E1" w:sz="4"/>
            </w:tcBorders>
            <w:shd w:fill="F1F5F9" w:val="clear"/>
            <w:tcMar>
              <w:top w:type="dxa" w:w="140"/>
              <w:left w:type="dxa" w:w="180"/>
              <w:bottom w:type="dxa" w:w="140"/>
              <w:right w:type="dxa" w:w="180"/>
            </w:tcMar>
            <w:vAlign w:val="center"/>
          </w:tcPr>
          <w:p>
            <w:pPr>
              <w:spacing w:after="20" w:before="20"/>
              <w:jc w:val="left"/>
            </w:pPr>
            <w:r>
              <w:rPr>
                <w:rFonts w:ascii="Calibri" w:cs="Calibri" w:eastAsia="Calibri" w:hAnsi="Calibri"/>
                <w:b/>
                <w:bCs/>
                <w:color w:val="1F2937"/>
                <w:sz w:val="20"/>
                <w:szCs w:val="20"/>
              </w:rPr>
              <w:t xml:space="preserve">Brand archetype</w:t>
            </w:r>
          </w:p>
        </w:tc>
        <w:tc>
          <w:tcPr>
            <w:tcW w:type="dxa" w:w="6660"/>
            <w:tcBorders>
              <w:top w:val="single" w:color="CBD5E1" w:sz="4"/>
              <w:left w:val="single" w:color="CBD5E1" w:sz="4"/>
              <w:bottom w:val="single" w:color="CBD5E1" w:sz="4"/>
              <w:right w:val="single" w:color="CBD5E1" w:sz="4"/>
            </w:tcBorders>
            <w:tcMar>
              <w:top w:type="dxa" w:w="140"/>
              <w:left w:type="dxa" w:w="180"/>
              <w:bottom w:type="dxa" w:w="140"/>
              <w:right w:type="dxa" w:w="180"/>
            </w:tcMar>
            <w:vAlign w:val="center"/>
          </w:tcPr>
          <w:p>
            <w:pPr>
              <w:spacing w:after="20" w:before="20"/>
              <w:jc w:val="left"/>
            </w:pPr>
            <w:r>
              <w:rPr>
                <w:rFonts w:ascii="Calibri" w:cs="Calibri" w:eastAsia="Calibri" w:hAnsi="Calibri"/>
                <w:b w:val="false"/>
                <w:bCs w:val="false"/>
                <w:color w:val="1F2937"/>
                <w:sz w:val="20"/>
                <w:szCs w:val="20"/>
              </w:rPr>
              <w:t xml:space="preserve">The Sage with a touch of The Caregiver</w:t>
            </w:r>
          </w:p>
        </w:tc>
      </w:tr>
      <w:tr>
        <w:tc>
          <w:tcPr>
            <w:tcW w:type="dxa" w:w="2700"/>
            <w:tcBorders>
              <w:top w:val="single" w:color="CBD5E1" w:sz="4"/>
              <w:left w:val="single" w:color="CBD5E1" w:sz="4"/>
              <w:bottom w:val="single" w:color="CBD5E1" w:sz="4"/>
              <w:right w:val="single" w:color="CBD5E1" w:sz="4"/>
            </w:tcBorders>
            <w:shd w:fill="F1F5F9" w:val="clear"/>
            <w:tcMar>
              <w:top w:type="dxa" w:w="140"/>
              <w:left w:type="dxa" w:w="180"/>
              <w:bottom w:type="dxa" w:w="140"/>
              <w:right w:type="dxa" w:w="180"/>
            </w:tcMar>
            <w:vAlign w:val="center"/>
          </w:tcPr>
          <w:p>
            <w:pPr>
              <w:spacing w:after="20" w:before="20"/>
              <w:jc w:val="left"/>
            </w:pPr>
            <w:r>
              <w:rPr>
                <w:rFonts w:ascii="Calibri" w:cs="Calibri" w:eastAsia="Calibri" w:hAnsi="Calibri"/>
                <w:b/>
                <w:bCs/>
                <w:color w:val="1F2937"/>
                <w:sz w:val="20"/>
                <w:szCs w:val="20"/>
              </w:rPr>
              <w:t xml:space="preserve">Voice in one line</w:t>
            </w:r>
          </w:p>
        </w:tc>
        <w:tc>
          <w:tcPr>
            <w:tcW w:type="dxa" w:w="6660"/>
            <w:tcBorders>
              <w:top w:val="single" w:color="CBD5E1" w:sz="4"/>
              <w:left w:val="single" w:color="CBD5E1" w:sz="4"/>
              <w:bottom w:val="single" w:color="CBD5E1" w:sz="4"/>
              <w:right w:val="single" w:color="CBD5E1" w:sz="4"/>
            </w:tcBorders>
            <w:tcMar>
              <w:top w:type="dxa" w:w="140"/>
              <w:left w:type="dxa" w:w="180"/>
              <w:bottom w:type="dxa" w:w="140"/>
              <w:right w:type="dxa" w:w="180"/>
            </w:tcMar>
            <w:vAlign w:val="center"/>
          </w:tcPr>
          <w:p>
            <w:pPr>
              <w:spacing w:after="20" w:before="20"/>
              <w:jc w:val="left"/>
            </w:pPr>
            <w:r>
              <w:rPr>
                <w:rFonts w:ascii="Calibri" w:cs="Calibri" w:eastAsia="Calibri" w:hAnsi="Calibri"/>
                <w:b w:val="false"/>
                <w:bCs w:val="false"/>
                <w:color w:val="1F2937"/>
                <w:sz w:val="20"/>
                <w:szCs w:val="20"/>
              </w:rPr>
              <w:t xml:space="preserve">A senior mentor explaining a serious decision over chai. Warm but never wasteful.</w:t>
            </w:r>
          </w:p>
        </w:tc>
      </w:tr>
    </w:tbl>
    <w:p>
      <w:pPr>
        <w:spacing w:after="200" w:before="200"/>
      </w:pPr>
      <w:r>
        <w:t xml:space="preserve"/>
      </w:r>
    </w:p>
    <w:p>
      <w:pPr>
        <w:spacing w:after="100" w:before="400"/>
        <w:jc w:val="center"/>
      </w:pPr>
      <w:r>
        <w:drawing>
          <wp:inline distT="0" distB="0" distL="0" distR="0">
            <wp:extent cx="3048000" cy="647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048000" cy="647700"/>
                    </a:xfrm>
                    <a:prstGeom prst="rect">
                      <a:avLst/>
                    </a:prstGeom>
                  </pic:spPr>
                </pic:pic>
              </a:graphicData>
            </a:graphic>
          </wp:inline>
        </w:drawing>
      </w:r>
    </w:p>
    <w:p>
      <w:pPr>
        <w:spacing w:after="80" w:before="80" w:line="300"/>
        <w:jc w:val="center"/>
      </w:pPr>
      <w:r>
        <w:rPr>
          <w:rFonts w:ascii="Calibri" w:cs="Calibri" w:eastAsia="Calibri" w:hAnsi="Calibri"/>
          <w:b w:val="false"/>
          <w:bCs w:val="false"/>
          <w:i/>
          <w:iCs/>
          <w:color w:val="475569"/>
          <w:sz w:val="22"/>
          <w:szCs w:val="22"/>
        </w:rPr>
        <w:t xml:space="preserve">— End of Brand Guidelines, Version 2.0 Final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475569"/>
        <w:sz w:val="16"/>
        <w:szCs w:val="16"/>
      </w:rPr>
      <w:t xml:space="preserve">MagicWorks IT Solutions Pvt. Ltd.  •  </w:t>
    </w:r>
    <w:r>
      <w:rPr>
        <w:rFonts w:ascii="Calibri" w:cs="Calibri" w:eastAsia="Calibri" w:hAnsi="Calibri"/>
        <w:color w:val="47556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475569"/>
        <w:sz w:val="16"/>
        <w:szCs w:val="16"/>
      </w:rPr>
      <w:t xml:space="preserve">Distance MBA College  |  Brand Guidelines v2.0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0B1F4D"/>
      <w:sz w:val="44"/>
      <w:szCs w:val="44"/>
    </w:rPr>
  </w:style>
  <w:style w:type="paragraph" w:styleId="Heading2">
    <w:name w:val="Heading 2"/>
    <w:basedOn w:val="Normal"/>
    <w:next w:val="Normal"/>
    <w:qFormat/>
    <w:pPr>
      <w:spacing w:after="140" w:before="280"/>
      <w:outlineLvl w:val="1"/>
    </w:pPr>
    <w:rPr>
      <w:rFonts w:ascii="Calibri" w:cs="Calibri" w:eastAsia="Calibri" w:hAnsi="Calibri"/>
      <w:b/>
      <w:bCs/>
      <w:color w:val="0B1F4D"/>
      <w:sz w:val="30"/>
      <w:szCs w:val="30"/>
    </w:rPr>
  </w:style>
  <w:style w:type="paragraph" w:styleId="Heading3">
    <w:name w:val="Heading 3"/>
    <w:basedOn w:val="Normal"/>
    <w:next w:val="Normal"/>
    <w:qFormat/>
    <w:pPr>
      <w:spacing w:after="100" w:before="220"/>
      <w:outlineLvl w:val="2"/>
    </w:pPr>
    <w:rPr>
      <w:rFonts w:ascii="Calibri" w:cs="Calibri" w:eastAsia="Calibri" w:hAnsi="Calibri"/>
      <w:b/>
      <w:bCs/>
      <w:color w:val="1E3A8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4f5a82701e9bdc8c2d6ba4495ec238706068c760.png"/><Relationship Id="rId10" Type="http://schemas.openxmlformats.org/officeDocument/2006/relationships/image" Target="media/bab566f6fe7faa31e038c1e3e73bcf1a5b43c4bf.png"/><Relationship Id="rId11" Type="http://schemas.openxmlformats.org/officeDocument/2006/relationships/image" Target="media/934be795d7d499ab738bf23df4f00a5a34e6c044.png"/><Relationship Id="rId12" Type="http://schemas.openxmlformats.org/officeDocument/2006/relationships/image" Target="media/45e15f7ea653dcdf5697e634adc9753519f660b8.png"/><Relationship Id="rId13" Type="http://schemas.openxmlformats.org/officeDocument/2006/relationships/image" Target="media/6017dd589024f82d50da09455891f32d8498d2cb.png"/><Relationship Id="rId14" Type="http://schemas.openxmlformats.org/officeDocument/2006/relationships/image" Target="media/9283cba2b38ff61eae071b6156f3b68b248a9136.png"/><Relationship Id="rId15" Type="http://schemas.openxmlformats.org/officeDocument/2006/relationships/image" Target="media/fc3b001e1917060985b99b3d41f8cff3a481f62e.png"/><Relationship Id="rId16" Type="http://schemas.openxmlformats.org/officeDocument/2006/relationships/image" Target="media/4d071cb03a4d15f9bbe4219b1c807ae0a6e761f1.png"/><Relationship Id="rId17" Type="http://schemas.openxmlformats.org/officeDocument/2006/relationships/image" Target="media/13675872a794d4ef6b4e87d3044bcbd8c921ba42.png"/><Relationship Id="rId18" Type="http://schemas.openxmlformats.org/officeDocument/2006/relationships/image" Target="media/e35c48e217c3cf7c2acc244f3d6474f8e77973f4.png"/><Relationship Id="rId19" Type="http://schemas.openxmlformats.org/officeDocument/2006/relationships/image" Target="media/41c6ddc999e506df0ed94e973638cb837490de12.png"/><Relationship Id="rId20" Type="http://schemas.openxmlformats.org/officeDocument/2006/relationships/image" Target="media/80dde75a34939bd41735493ef5b23bc6889855e3.png"/><Relationship Id="rId21" Type="http://schemas.openxmlformats.org/officeDocument/2006/relationships/image" Target="media/c7f62781f4187adffff5067a3082de8a1a222ef0.png"/><Relationship Id="rId22" Type="http://schemas.openxmlformats.org/officeDocument/2006/relationships/image" Target="media/8083e1ab1030069f12f48cae19a3071441c0e3c1.png"/><Relationship Id="rId23" Type="http://schemas.openxmlformats.org/officeDocument/2006/relationships/image" Target="media/a6e4f138bf5d3d404709abac78b2a78c21cd7768.png"/><Relationship Id="rId24" Type="http://schemas.openxmlformats.org/officeDocument/2006/relationships/image" Target="media/d6854d55a8502bc928e577e8b6b5044d82560f95.png"/><Relationship Id="rId25" Type="http://schemas.openxmlformats.org/officeDocument/2006/relationships/image" Target="media/f665609a4a0d8c6211f11a4c8b692be055e0bf5a.png"/><Relationship Id="rId26" Type="http://schemas.openxmlformats.org/officeDocument/2006/relationships/image" Target="media/d9c765c97fdd4b1743966cebba42fbfa6ba67390.png"/><Relationship Id="rId27" Type="http://schemas.openxmlformats.org/officeDocument/2006/relationships/image" Target="media/5176f93b52cc0430e48b8dc09dc4727050563c87.png"/><Relationship Id="rId2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Distance MBA College — Brand Guidelines v2.0</dc:title>
  <dc:creator>MagicWorks IT Solutions Private Limited</dc:creator>
  <dc:description>Final brand guideline document for Distance MBA College.</dc:description>
  <cp:lastModifiedBy>Un-named</cp:lastModifiedBy>
  <cp:revision>1</cp:revision>
  <dcterms:created xsi:type="dcterms:W3CDTF">2026-06-19T13:24:59.010Z</dcterms:created>
  <dcterms:modified xsi:type="dcterms:W3CDTF">2026-06-19T13:24:59.010Z</dcterms:modified>
</cp:coreProperties>
</file>

<file path=docProps/custom.xml><?xml version="1.0" encoding="utf-8"?>
<Properties xmlns="http://schemas.openxmlformats.org/officeDocument/2006/custom-properties" xmlns:vt="http://schemas.openxmlformats.org/officeDocument/2006/docPropsVTypes"/>
</file>