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2E5A88"/>
          <w:sz w:val="40"/>
        </w:rPr>
        <w:t>TrustSquare</w:t>
      </w:r>
    </w:p>
    <w:p>
      <w:pPr>
        <w:spacing w:after="40"/>
      </w:pPr>
      <w:r>
        <w:rPr>
          <w:rFonts w:ascii="Arial" w:hAnsi="Arial"/>
          <w:b w:val="0"/>
          <w:color w:val="5A6B7B"/>
          <w:sz w:val="21"/>
        </w:rPr>
        <w:t>Trustsquare (Pty) Ltd  ·  Reg 2026/340128/07  ·  Director: David Maurice Conradie</w:t>
      </w:r>
    </w:p>
    <w:p>
      <w:pPr>
        <w:spacing w:after="40"/>
      </w:pPr>
      <w:r>
        <w:rPr>
          <w:rFonts w:ascii="Arial" w:hAnsi="Arial"/>
          <w:b/>
          <w:color w:val="1C2733"/>
          <w:sz w:val="26"/>
        </w:rPr>
        <w:t>IP Brief v5  —  Patent Claim Language &amp; Validity Verdict</w:t>
      </w:r>
    </w:p>
    <w:p>
      <w:pPr>
        <w:spacing w:after="40"/>
      </w:pPr>
      <w:r>
        <w:rPr>
          <w:rFonts w:ascii="Arial" w:hAnsi="Arial"/>
          <w:b w:val="0"/>
          <w:color w:val="5A6B7B"/>
          <w:sz w:val="20"/>
        </w:rPr>
        <w:t>For review by patent counsel — South African provisional + PCT  ·  June 2026  ·  Version 5  ·  Confidential</w:t>
      </w:r>
    </w:p>
    <w:p>
      <w:pPr>
        <w:spacing w:after="120"/>
      </w:pPr>
      <w:r>
        <w:rPr>
          <w:b/>
          <w:i w:val="0"/>
          <w:color w:val="B03A3A"/>
          <w:sz w:val="19"/>
        </w:rPr>
        <w:t>PRIVILEGED AND CONFIDENTIAL — ATTORNEY-CLIENT MATERIAL</w:t>
      </w:r>
    </w:p>
    <w:p>
      <w:pPr>
        <w:pBdr>
          <w:bottom w:val="single" w:sz="6" w:space="1" w:color="2E5A88"/>
        </w:pBdr>
        <w:spacing w:after="80"/>
      </w:pPr>
    </w:p>
    <w:p>
      <w:pPr>
        <w:pStyle w:val="Heading1"/>
      </w:pPr>
      <w:r>
        <w:t>0. Validity Verdict — “Do we have a valid claim?”</w:t>
      </w:r>
    </w:p>
    <w:p>
      <w:pPr>
        <w:spacing w:after="120"/>
      </w:pPr>
      <w:r>
        <w:rPr>
          <w:b w:val="0"/>
          <w:i w:val="0"/>
          <w:sz w:val="21"/>
        </w:rPr>
        <w:t>Short answer: YES — there is a genuine, defensible inventive core — but it is materially narrower than the nine-claim portfolio implies. After a June 2026 deep prior-art and current-law review (worldwide product and patent-literature search; SA / US / EPO eligibility; SA regulatory), the honest position is that TrustSquare holds essentially ONE strong combination invention, not nine independent monopolies. File the provisional to anchor priority, but RESTRUCTURE around the combination before the PCT, where substantive examination actually occurs.</w:t>
      </w:r>
    </w:p>
    <w:tbl>
      <w:tblPr>
        <w:tblW w:type="auto" w:w="0"/>
        <w:tblBorders>
          <w:top w:val="single" w:sz="6" w:space="0" w:color="CFD9E2"/>
          <w:left w:val="single" w:sz="6" w:space="0" w:color="CFD9E2"/>
          <w:bottom w:val="single" w:sz="6" w:space="0" w:color="CFD9E2"/>
          <w:right w:val="single" w:sz="6" w:space="0" w:color="CFD9E2"/>
        </w:tblBorders>
        <w:tblLook w:firstColumn="1" w:firstRow="1" w:lastColumn="0" w:lastRow="0" w:noHBand="0" w:noVBand="1" w:val="04A0"/>
      </w:tblPr>
      <w:tblGrid>
        <w:gridCol w:w="9360"/>
      </w:tblGrid>
      <w:tr>
        <w:tc>
          <w:tcPr>
            <w:tcW w:type="dxa" w:w="9360"/>
            <w:shd w:val="clear" w:fill="E6F3EC"/>
          </w:tcPr>
          <w:p>
            <w:r>
              <w:rPr>
                <w:b/>
                <w:color w:val="3B7A57"/>
                <w:sz w:val="21"/>
              </w:rPr>
              <w:t>The defensible anchor (not found pre-combined anywhere in the search):</w:t>
            </w:r>
            <w:r>
              <w:t xml:space="preserve">  —  </w:t>
            </w:r>
            <w:r>
              <w:rPr>
                <w:sz w:val="20"/>
              </w:rPr>
              <w:t>(1) a dual-use, non-refundable, BUYER-paid commitment currency (Tuppence) that gates BOTH human introductions AND in-platform AI services, bound to an “existence gate” (a mandatory indexed registered-user lookup before any external LLM API call) plus non-blocking spend metering — the specific integration of Claim 7; and (2) the exact Claim 2 bundle — buyer-paid, fixed (never a % of price), consumed pre-introduction, outcome-independent, strictly non-refundable, paid blind into mutual anonymity.</w:t>
            </w:r>
          </w:p>
        </w:tc>
      </w:tr>
    </w:tbl>
    <w:p>
      <w:pPr>
        <w:spacing w:after="20"/>
      </w:pPr>
    </w:p>
    <w:p>
      <w:pPr>
        <w:spacing w:after="120"/>
      </w:pPr>
      <w:r>
        <w:rPr>
          <w:b w:val="0"/>
          <w:i w:val="0"/>
          <w:sz w:val="21"/>
        </w:rPr>
        <w:t>What changed in v5 vs v4: every claim is re-rated against NAMED prior art; five independent claims are now assessed weak-to-likely-anticipated and recommended for demotion to dependent claims (C1, C4, C5, C8, C9); Claim 3 carries a near-anticipatory reference (Pingsby) counsel must clear before filing; the regulatory headline has shifted — the Banks Act is confirmed NO RISK, but a previously-unflagged Consumer Protection Act s63 exposure is now the single most material regulatory issue; and the US-law narrative is corrected (the Nov 2025 USPTO rescission was of AI-inventorship guidance, NOT the §101 subject-matter guidance, which remains in force).</w:t>
      </w:r>
    </w:p>
    <w:p>
      <w:pPr>
        <w:pStyle w:val="Heading2"/>
      </w:pPr>
      <w:r>
        <w:t>0.1 Per-claim re-rating (v4 → v5)</w:t>
      </w:r>
    </w:p>
    <w:tbl>
      <w:tblPr>
        <w:tblW w:type="auto" w:w="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2340"/>
        <w:gridCol w:w="2340"/>
        <w:gridCol w:w="2340"/>
        <w:gridCol w:w="2340"/>
      </w:tblGrid>
      <w:tr>
        <w:tc>
          <w:tcPr>
            <w:tcW w:type="dxa" w:w="2340"/>
            <w:shd w:val="clear" w:fill="F2F6FA"/>
            <w:tcW w:w="470" w:type="dxa"/>
            <w:tcMar>
              <w:top w:w="40" w:type="dxa"/>
              <w:bottom w:w="40" w:type="dxa"/>
              <w:left w:w="90" w:type="dxa"/>
              <w:right w:w="90" w:type="dxa"/>
            </w:tcMar>
          </w:tcPr>
          <w:p>
            <w:r>
              <w:rPr>
                <w:b/>
                <w:color w:val="2E5A88"/>
                <w:sz w:val="17"/>
              </w:rPr>
              <w:t>#</w:t>
            </w:r>
          </w:p>
        </w:tc>
        <w:tc>
          <w:tcPr>
            <w:tcW w:type="dxa" w:w="2340"/>
            <w:shd w:val="clear" w:fill="F2F6FA"/>
            <w:tcW w:w="2250" w:type="dxa"/>
            <w:tcMar>
              <w:top w:w="40" w:type="dxa"/>
              <w:bottom w:w="40" w:type="dxa"/>
              <w:left w:w="90" w:type="dxa"/>
              <w:right w:w="90" w:type="dxa"/>
            </w:tcMar>
          </w:tcPr>
          <w:p>
            <w:r>
              <w:rPr>
                <w:b/>
                <w:color w:val="2E5A88"/>
                <w:sz w:val="17"/>
              </w:rPr>
              <w:t>Claim</w:t>
            </w:r>
          </w:p>
        </w:tc>
        <w:tc>
          <w:tcPr>
            <w:tcW w:type="dxa" w:w="2340"/>
            <w:shd w:val="clear" w:fill="F2F6FA"/>
            <w:tcW w:w="1560" w:type="dxa"/>
            <w:tcMar>
              <w:top w:w="40" w:type="dxa"/>
              <w:bottom w:w="40" w:type="dxa"/>
              <w:left w:w="90" w:type="dxa"/>
              <w:right w:w="90" w:type="dxa"/>
            </w:tcMar>
          </w:tcPr>
          <w:p>
            <w:r>
              <w:rPr>
                <w:b/>
                <w:color w:val="2E5A88"/>
                <w:sz w:val="17"/>
              </w:rPr>
              <w:t>Re-rating</w:t>
            </w:r>
          </w:p>
        </w:tc>
        <w:tc>
          <w:tcPr>
            <w:tcW w:type="dxa" w:w="2340"/>
            <w:shd w:val="clear" w:fill="F2F6FA"/>
            <w:tcW w:w="5080" w:type="dxa"/>
            <w:tcMar>
              <w:top w:w="40" w:type="dxa"/>
              <w:bottom w:w="40" w:type="dxa"/>
              <w:left w:w="90" w:type="dxa"/>
              <w:right w:w="90" w:type="dxa"/>
            </w:tcMar>
          </w:tcPr>
          <w:p>
            <w:r>
              <w:rPr>
                <w:b/>
                <w:color w:val="2E5A88"/>
                <w:sz w:val="17"/>
              </w:rPr>
              <w:t>Basis / action</w:t>
            </w:r>
          </w:p>
        </w:tc>
      </w:tr>
      <w:tr>
        <w:tc>
          <w:tcPr>
            <w:tcW w:type="dxa" w:w="2340"/>
            <w:tcW w:w="470" w:type="dxa"/>
            <w:tcMar>
              <w:top w:w="40" w:type="dxa"/>
              <w:bottom w:w="40" w:type="dxa"/>
              <w:left w:w="90" w:type="dxa"/>
              <w:right w:w="90" w:type="dxa"/>
            </w:tcMar>
          </w:tcPr>
          <w:p>
            <w:r>
              <w:rPr>
                <w:sz w:val="17"/>
              </w:rPr>
              <w:t>C1</w:t>
            </w:r>
          </w:p>
        </w:tc>
        <w:tc>
          <w:tcPr>
            <w:tcW w:type="dxa" w:w="2340"/>
            <w:tcW w:w="2250" w:type="dxa"/>
            <w:tcMar>
              <w:top w:w="40" w:type="dxa"/>
              <w:bottom w:w="40" w:type="dxa"/>
              <w:left w:w="90" w:type="dxa"/>
              <w:right w:w="90" w:type="dxa"/>
            </w:tcMar>
          </w:tcPr>
          <w:p>
            <w:r>
              <w:rPr>
                <w:sz w:val="17"/>
              </w:rPr>
              <w:t>Unified Participation Model</w:t>
            </w:r>
          </w:p>
        </w:tc>
        <w:tc>
          <w:tcPr>
            <w:tcW w:type="dxa" w:w="2340"/>
            <w:tcW w:w="1560" w:type="dxa"/>
            <w:tcMar>
              <w:top w:w="40" w:type="dxa"/>
              <w:bottom w:w="40" w:type="dxa"/>
              <w:left w:w="90" w:type="dxa"/>
              <w:right w:w="90" w:type="dxa"/>
            </w:tcMar>
          </w:tcPr>
          <w:p>
            <w:r>
              <w:rPr>
                <w:b/>
                <w:color w:val="B03A3A"/>
                <w:sz w:val="17"/>
              </w:rPr>
              <w:t>STRONG → WEAK</w:t>
            </w:r>
          </w:p>
        </w:tc>
        <w:tc>
          <w:tcPr>
            <w:tcW w:type="dxa" w:w="2340"/>
            <w:tcW w:w="5080" w:type="dxa"/>
            <w:tcMar>
              <w:top w:w="40" w:type="dxa"/>
              <w:bottom w:w="40" w:type="dxa"/>
              <w:left w:w="90" w:type="dxa"/>
              <w:right w:w="90" w:type="dxa"/>
            </w:tcMar>
          </w:tcPr>
          <w:p>
            <w:r>
              <w:rPr>
                <w:sz w:val="17"/>
              </w:rPr>
              <w:t>Anticipated: US7958019B2 / US20070211651A1 (single account, plurality of roles). Demote to dependent of C7.</w:t>
            </w:r>
          </w:p>
        </w:tc>
      </w:tr>
      <w:tr>
        <w:tc>
          <w:tcPr>
            <w:tcW w:type="dxa" w:w="2340"/>
            <w:tcW w:w="470" w:type="dxa"/>
            <w:tcMar>
              <w:top w:w="40" w:type="dxa"/>
              <w:bottom w:w="40" w:type="dxa"/>
              <w:left w:w="90" w:type="dxa"/>
              <w:right w:w="90" w:type="dxa"/>
            </w:tcMar>
          </w:tcPr>
          <w:p>
            <w:r>
              <w:rPr>
                <w:sz w:val="17"/>
              </w:rPr>
              <w:t>C2</w:t>
            </w:r>
          </w:p>
        </w:tc>
        <w:tc>
          <w:tcPr>
            <w:tcW w:type="dxa" w:w="2340"/>
            <w:tcW w:w="2250" w:type="dxa"/>
            <w:tcMar>
              <w:top w:w="40" w:type="dxa"/>
              <w:bottom w:w="40" w:type="dxa"/>
              <w:left w:w="90" w:type="dxa"/>
              <w:right w:w="90" w:type="dxa"/>
            </w:tcMar>
          </w:tcPr>
          <w:p>
            <w:r>
              <w:rPr>
                <w:sz w:val="17"/>
              </w:rPr>
              <w:t>Tuppence Introduction Currency</w:t>
            </w:r>
          </w:p>
        </w:tc>
        <w:tc>
          <w:tcPr>
            <w:tcW w:type="dxa" w:w="2340"/>
            <w:tcW w:w="1560" w:type="dxa"/>
            <w:tcMar>
              <w:top w:w="40" w:type="dxa"/>
              <w:bottom w:w="40" w:type="dxa"/>
              <w:left w:w="90" w:type="dxa"/>
              <w:right w:w="90" w:type="dxa"/>
            </w:tcMar>
          </w:tcPr>
          <w:p>
            <w:r>
              <w:rPr>
                <w:b/>
                <w:color w:val="3B7A57"/>
                <w:sz w:val="17"/>
              </w:rPr>
              <w:t>STRONG → MODERATE</w:t>
            </w:r>
          </w:p>
        </w:tc>
        <w:tc>
          <w:tcPr>
            <w:tcW w:type="dxa" w:w="2340"/>
            <w:tcW w:w="5080" w:type="dxa"/>
            <w:tcMar>
              <w:top w:w="40" w:type="dxa"/>
              <w:bottom w:w="40" w:type="dxa"/>
              <w:left w:w="90" w:type="dxa"/>
              <w:right w:w="90" w:type="dxa"/>
            </w:tcMar>
          </w:tcPr>
          <w:p>
            <w:r>
              <w:rPr>
                <w:sz w:val="17"/>
              </w:rPr>
              <w:t>Novel as a tight bundle; Bark/Thumbtack are seller-paid, so buyer-paid is a real inversion. Keep as independent anchor.</w:t>
            </w:r>
          </w:p>
        </w:tc>
      </w:tr>
      <w:tr>
        <w:tc>
          <w:tcPr>
            <w:tcW w:type="dxa" w:w="2340"/>
            <w:tcW w:w="470" w:type="dxa"/>
            <w:tcMar>
              <w:top w:w="40" w:type="dxa"/>
              <w:bottom w:w="40" w:type="dxa"/>
              <w:left w:w="90" w:type="dxa"/>
              <w:right w:w="90" w:type="dxa"/>
            </w:tcMar>
          </w:tcPr>
          <w:p>
            <w:r>
              <w:rPr>
                <w:sz w:val="17"/>
              </w:rPr>
              <w:t>C3</w:t>
            </w:r>
          </w:p>
        </w:tc>
        <w:tc>
          <w:tcPr>
            <w:tcW w:type="dxa" w:w="2340"/>
            <w:tcW w:w="2250" w:type="dxa"/>
            <w:tcMar>
              <w:top w:w="40" w:type="dxa"/>
              <w:bottom w:w="40" w:type="dxa"/>
              <w:left w:w="90" w:type="dxa"/>
              <w:right w:w="90" w:type="dxa"/>
            </w:tcMar>
          </w:tcPr>
          <w:p>
            <w:r>
              <w:rPr>
                <w:sz w:val="17"/>
              </w:rPr>
              <w:t>Anonymous Introduction Protocol</w:t>
            </w:r>
          </w:p>
        </w:tc>
        <w:tc>
          <w:tcPr>
            <w:tcW w:type="dxa" w:w="2340"/>
            <w:tcW w:w="1560" w:type="dxa"/>
            <w:tcMar>
              <w:top w:w="40" w:type="dxa"/>
              <w:bottom w:w="40" w:type="dxa"/>
              <w:left w:w="90" w:type="dxa"/>
              <w:right w:w="90" w:type="dxa"/>
            </w:tcMar>
          </w:tcPr>
          <w:p>
            <w:r>
              <w:rPr>
                <w:b/>
                <w:color w:val="B03A3A"/>
                <w:sz w:val="17"/>
              </w:rPr>
              <w:t>STRONG → AT RISK</w:t>
            </w:r>
          </w:p>
        </w:tc>
        <w:tc>
          <w:tcPr>
            <w:tcW w:type="dxa" w:w="2340"/>
            <w:tcW w:w="5080" w:type="dxa"/>
            <w:tcMar>
              <w:top w:w="40" w:type="dxa"/>
              <w:bottom w:w="40" w:type="dxa"/>
              <w:left w:w="90" w:type="dxa"/>
              <w:right w:w="90" w:type="dxa"/>
            </w:tcMar>
          </w:tcPr>
          <w:p>
            <w:r>
              <w:rPr>
                <w:sz w:val="17"/>
              </w:rPr>
              <w:t>Near-anticipated: US20120005033A1 (Pingsby). Counsel must read its claims; narrow to an atomic protocol or demote.</w:t>
            </w:r>
          </w:p>
        </w:tc>
      </w:tr>
      <w:tr>
        <w:tc>
          <w:tcPr>
            <w:tcW w:type="dxa" w:w="2340"/>
            <w:tcW w:w="470" w:type="dxa"/>
            <w:tcMar>
              <w:top w:w="40" w:type="dxa"/>
              <w:bottom w:w="40" w:type="dxa"/>
              <w:left w:w="90" w:type="dxa"/>
              <w:right w:w="90" w:type="dxa"/>
            </w:tcMar>
          </w:tcPr>
          <w:p>
            <w:r>
              <w:rPr>
                <w:sz w:val="17"/>
              </w:rPr>
              <w:t>C4</w:t>
            </w:r>
          </w:p>
        </w:tc>
        <w:tc>
          <w:tcPr>
            <w:tcW w:type="dxa" w:w="2340"/>
            <w:tcW w:w="2250" w:type="dxa"/>
            <w:tcMar>
              <w:top w:w="40" w:type="dxa"/>
              <w:bottom w:w="40" w:type="dxa"/>
              <w:left w:w="90" w:type="dxa"/>
              <w:right w:w="90" w:type="dxa"/>
            </w:tcMar>
          </w:tcPr>
          <w:p>
            <w:r>
              <w:rPr>
                <w:sz w:val="17"/>
              </w:rPr>
              <w:t>Trust Score Composite</w:t>
            </w:r>
          </w:p>
        </w:tc>
        <w:tc>
          <w:tcPr>
            <w:tcW w:type="dxa" w:w="2340"/>
            <w:tcW w:w="1560" w:type="dxa"/>
            <w:tcMar>
              <w:top w:w="40" w:type="dxa"/>
              <w:bottom w:w="40" w:type="dxa"/>
              <w:left w:w="90" w:type="dxa"/>
              <w:right w:w="90" w:type="dxa"/>
            </w:tcMar>
          </w:tcPr>
          <w:p>
            <w:r>
              <w:rPr>
                <w:b/>
                <w:color w:val="B03A3A"/>
                <w:sz w:val="17"/>
              </w:rPr>
              <w:t>SOLID → WEAK</w:t>
            </w:r>
          </w:p>
        </w:tc>
        <w:tc>
          <w:tcPr>
            <w:tcW w:type="dxa" w:w="2340"/>
            <w:tcW w:w="5080" w:type="dxa"/>
            <w:tcMar>
              <w:top w:w="40" w:type="dxa"/>
              <w:bottom w:w="40" w:type="dxa"/>
              <w:left w:w="90" w:type="dxa"/>
              <w:right w:w="90" w:type="dxa"/>
            </w:tcMar>
          </w:tcPr>
          <w:p>
            <w:r>
              <w:rPr>
                <w:sz w:val="17"/>
              </w:rPr>
              <w:t>eBay/Airbnb/Uber/LinkedIn SSI. Conventional. Demote or narrow to a tamper-prevention subsystem.</w:t>
            </w:r>
          </w:p>
        </w:tc>
      </w:tr>
      <w:tr>
        <w:tc>
          <w:tcPr>
            <w:tcW w:type="dxa" w:w="2340"/>
            <w:tcW w:w="470" w:type="dxa"/>
            <w:tcMar>
              <w:top w:w="40" w:type="dxa"/>
              <w:bottom w:w="40" w:type="dxa"/>
              <w:left w:w="90" w:type="dxa"/>
              <w:right w:w="90" w:type="dxa"/>
            </w:tcMar>
          </w:tcPr>
          <w:p>
            <w:r>
              <w:rPr>
                <w:sz w:val="17"/>
              </w:rPr>
              <w:t>C5</w:t>
            </w:r>
          </w:p>
        </w:tc>
        <w:tc>
          <w:tcPr>
            <w:tcW w:type="dxa" w:w="2340"/>
            <w:tcW w:w="2250" w:type="dxa"/>
            <w:tcMar>
              <w:top w:w="40" w:type="dxa"/>
              <w:bottom w:w="40" w:type="dxa"/>
              <w:left w:w="90" w:type="dxa"/>
              <w:right w:w="90" w:type="dxa"/>
            </w:tcMar>
          </w:tcPr>
          <w:p>
            <w:r>
              <w:rPr>
                <w:sz w:val="17"/>
              </w:rPr>
              <w:t>Geo-Hierarchical Visibility</w:t>
            </w:r>
          </w:p>
        </w:tc>
        <w:tc>
          <w:tcPr>
            <w:tcW w:type="dxa" w:w="2340"/>
            <w:tcW w:w="1560" w:type="dxa"/>
            <w:tcMar>
              <w:top w:w="40" w:type="dxa"/>
              <w:bottom w:w="40" w:type="dxa"/>
              <w:left w:w="90" w:type="dxa"/>
              <w:right w:w="90" w:type="dxa"/>
            </w:tcMar>
          </w:tcPr>
          <w:p>
            <w:r>
              <w:rPr>
                <w:b/>
                <w:color w:val="B03A3A"/>
                <w:sz w:val="17"/>
              </w:rPr>
              <w:t>SOLID → WEAK</w:t>
            </w:r>
          </w:p>
        </w:tc>
        <w:tc>
          <w:tcPr>
            <w:tcW w:type="dxa" w:w="2340"/>
            <w:tcW w:w="5080" w:type="dxa"/>
            <w:tcMar>
              <w:top w:w="40" w:type="dxa"/>
              <w:bottom w:w="40" w:type="dxa"/>
              <w:left w:w="90" w:type="dxa"/>
              <w:right w:w="90" w:type="dxa"/>
            </w:tcMar>
          </w:tcPr>
          <w:p>
            <w:r>
              <w:rPr>
                <w:sz w:val="17"/>
              </w:rPr>
              <w:t>Tiered classifieds (RadiusTheme/GeoDirectory). Reframe as data-access-layer query rewriting or demote.</w:t>
            </w:r>
          </w:p>
        </w:tc>
      </w:tr>
      <w:tr>
        <w:tc>
          <w:tcPr>
            <w:tcW w:type="dxa" w:w="2340"/>
            <w:tcW w:w="470" w:type="dxa"/>
            <w:tcMar>
              <w:top w:w="40" w:type="dxa"/>
              <w:bottom w:w="40" w:type="dxa"/>
              <w:left w:w="90" w:type="dxa"/>
              <w:right w:w="90" w:type="dxa"/>
            </w:tcMar>
          </w:tcPr>
          <w:p>
            <w:r>
              <w:rPr>
                <w:sz w:val="17"/>
              </w:rPr>
              <w:t>C6</w:t>
            </w:r>
          </w:p>
        </w:tc>
        <w:tc>
          <w:tcPr>
            <w:tcW w:type="dxa" w:w="2340"/>
            <w:tcW w:w="2250" w:type="dxa"/>
            <w:tcMar>
              <w:top w:w="40" w:type="dxa"/>
              <w:bottom w:w="40" w:type="dxa"/>
              <w:left w:w="90" w:type="dxa"/>
              <w:right w:w="90" w:type="dxa"/>
            </w:tcMar>
          </w:tcPr>
          <w:p>
            <w:r>
              <w:rPr>
                <w:sz w:val="17"/>
              </w:rPr>
              <w:t>Founding Seller Cohort</w:t>
            </w:r>
          </w:p>
        </w:tc>
        <w:tc>
          <w:tcPr>
            <w:tcW w:type="dxa" w:w="2340"/>
            <w:tcW w:w="1560" w:type="dxa"/>
            <w:tcMar>
              <w:top w:w="40" w:type="dxa"/>
              <w:bottom w:w="40" w:type="dxa"/>
              <w:left w:w="90" w:type="dxa"/>
              <w:right w:w="90" w:type="dxa"/>
            </w:tcMar>
          </w:tcPr>
          <w:p>
            <w:r>
              <w:rPr>
                <w:b/>
                <w:color w:val="9A6B00"/>
                <w:sz w:val="17"/>
              </w:rPr>
              <w:t>SOLID → MOD-NARROW</w:t>
            </w:r>
          </w:p>
        </w:tc>
        <w:tc>
          <w:tcPr>
            <w:tcW w:type="dxa" w:w="2340"/>
            <w:tcW w:w="5080" w:type="dxa"/>
            <w:tcMar>
              <w:top w:w="40" w:type="dxa"/>
              <w:bottom w:w="40" w:type="dxa"/>
              <w:left w:w="90" w:type="dxa"/>
              <w:right w:w="90" w:type="dxa"/>
            </w:tcMar>
          </w:tcPr>
          <w:p>
            <w:r>
              <w:rPr>
                <w:sz w:val="17"/>
              </w:rPr>
              <w:t>No exact patent, but a promotional rule, thin technical character. Demote; reframe as bounded cold-start boost.</w:t>
            </w:r>
          </w:p>
        </w:tc>
      </w:tr>
      <w:tr>
        <w:tc>
          <w:tcPr>
            <w:tcW w:type="dxa" w:w="2340"/>
            <w:tcW w:w="470" w:type="dxa"/>
            <w:tcMar>
              <w:top w:w="40" w:type="dxa"/>
              <w:bottom w:w="40" w:type="dxa"/>
              <w:left w:w="90" w:type="dxa"/>
              <w:right w:w="90" w:type="dxa"/>
            </w:tcMar>
          </w:tcPr>
          <w:p>
            <w:r>
              <w:rPr>
                <w:sz w:val="17"/>
              </w:rPr>
              <w:t>C7</w:t>
            </w:r>
          </w:p>
        </w:tc>
        <w:tc>
          <w:tcPr>
            <w:tcW w:type="dxa" w:w="2340"/>
            <w:tcW w:w="2250" w:type="dxa"/>
            <w:tcMar>
              <w:top w:w="40" w:type="dxa"/>
              <w:bottom w:w="40" w:type="dxa"/>
              <w:left w:w="90" w:type="dxa"/>
              <w:right w:w="90" w:type="dxa"/>
            </w:tcMar>
          </w:tcPr>
          <w:p>
            <w:r>
              <w:rPr>
                <w:sz w:val="17"/>
              </w:rPr>
              <w:t>Combination + AI Services</w:t>
            </w:r>
          </w:p>
        </w:tc>
        <w:tc>
          <w:tcPr>
            <w:tcW w:type="dxa" w:w="2340"/>
            <w:tcW w:w="1560" w:type="dxa"/>
            <w:tcMar>
              <w:top w:w="40" w:type="dxa"/>
              <w:bottom w:w="40" w:type="dxa"/>
              <w:left w:w="90" w:type="dxa"/>
              <w:right w:w="90" w:type="dxa"/>
            </w:tcMar>
          </w:tcPr>
          <w:p>
            <w:r>
              <w:rPr>
                <w:b/>
                <w:color w:val="3B7A57"/>
                <w:sz w:val="17"/>
              </w:rPr>
              <w:t>STRONG → MOD-STRONG</w:t>
            </w:r>
          </w:p>
        </w:tc>
        <w:tc>
          <w:tcPr>
            <w:tcW w:type="dxa" w:w="2340"/>
            <w:tcW w:w="5080" w:type="dxa"/>
            <w:tcMar>
              <w:top w:w="40" w:type="dxa"/>
              <w:bottom w:w="40" w:type="dxa"/>
              <w:left w:w="90" w:type="dxa"/>
              <w:right w:w="90" w:type="dxa"/>
            </w:tcMar>
          </w:tcPr>
          <w:p>
            <w:r>
              <w:rPr>
                <w:sz w:val="17"/>
              </w:rPr>
              <w:t>Portfolio’s best claim. Novelty = aggregation specificity + existence gate. Lead the filing here.</w:t>
            </w:r>
          </w:p>
        </w:tc>
      </w:tr>
      <w:tr>
        <w:tc>
          <w:tcPr>
            <w:tcW w:type="dxa" w:w="2340"/>
            <w:tcW w:w="470" w:type="dxa"/>
            <w:tcMar>
              <w:top w:w="40" w:type="dxa"/>
              <w:bottom w:w="40" w:type="dxa"/>
              <w:left w:w="90" w:type="dxa"/>
              <w:right w:w="90" w:type="dxa"/>
            </w:tcMar>
          </w:tcPr>
          <w:p>
            <w:r>
              <w:rPr>
                <w:sz w:val="17"/>
              </w:rPr>
              <w:t>C8</w:t>
            </w:r>
          </w:p>
        </w:tc>
        <w:tc>
          <w:tcPr>
            <w:tcW w:type="dxa" w:w="2340"/>
            <w:tcW w:w="2250" w:type="dxa"/>
            <w:tcMar>
              <w:top w:w="40" w:type="dxa"/>
              <w:bottom w:w="40" w:type="dxa"/>
              <w:left w:w="90" w:type="dxa"/>
              <w:right w:w="90" w:type="dxa"/>
            </w:tcMar>
          </w:tcPr>
          <w:p>
            <w:r>
              <w:rPr>
                <w:sz w:val="17"/>
              </w:rPr>
              <w:t>Heritage Content Linking</w:t>
            </w:r>
          </w:p>
        </w:tc>
        <w:tc>
          <w:tcPr>
            <w:tcW w:type="dxa" w:w="2340"/>
            <w:tcW w:w="1560" w:type="dxa"/>
            <w:tcMar>
              <w:top w:w="40" w:type="dxa"/>
              <w:bottom w:w="40" w:type="dxa"/>
              <w:left w:w="90" w:type="dxa"/>
              <w:right w:w="90" w:type="dxa"/>
            </w:tcMar>
          </w:tcPr>
          <w:p>
            <w:r>
              <w:rPr>
                <w:b/>
                <w:color w:val="B03A3A"/>
                <w:sz w:val="17"/>
              </w:rPr>
              <w:t>SOLID → WEAK</w:t>
            </w:r>
          </w:p>
        </w:tc>
        <w:tc>
          <w:tcPr>
            <w:tcW w:type="dxa" w:w="2340"/>
            <w:tcW w:w="5080" w:type="dxa"/>
            <w:tcMar>
              <w:top w:w="40" w:type="dxa"/>
              <w:bottom w:w="40" w:type="dxa"/>
              <w:left w:w="90" w:type="dxa"/>
              <w:right w:w="90" w:type="dxa"/>
            </w:tcMar>
          </w:tcPr>
          <w:p>
            <w:r>
              <w:rPr>
                <w:sz w:val="17"/>
              </w:rPr>
              <w:t>Zillow POI / Geoapify enrichment. “Heritage” is a data-source choice. Keep only as dependent of C1.</w:t>
            </w:r>
          </w:p>
        </w:tc>
      </w:tr>
      <w:tr>
        <w:tc>
          <w:tcPr>
            <w:tcW w:type="dxa" w:w="2340"/>
            <w:tcW w:w="470" w:type="dxa"/>
            <w:tcMar>
              <w:top w:w="40" w:type="dxa"/>
              <w:bottom w:w="40" w:type="dxa"/>
              <w:left w:w="90" w:type="dxa"/>
              <w:right w:w="90" w:type="dxa"/>
            </w:tcMar>
          </w:tcPr>
          <w:p>
            <w:r>
              <w:rPr>
                <w:sz w:val="17"/>
              </w:rPr>
              <w:t>C9</w:t>
            </w:r>
          </w:p>
        </w:tc>
        <w:tc>
          <w:tcPr>
            <w:tcW w:type="dxa" w:w="2340"/>
            <w:tcW w:w="2250" w:type="dxa"/>
            <w:tcMar>
              <w:top w:w="40" w:type="dxa"/>
              <w:bottom w:w="40" w:type="dxa"/>
              <w:left w:w="90" w:type="dxa"/>
              <w:right w:w="90" w:type="dxa"/>
            </w:tcMar>
          </w:tcPr>
          <w:p>
            <w:r>
              <w:rPr>
                <w:sz w:val="17"/>
              </w:rPr>
              <w:t>AI Inbound Email Triage</w:t>
            </w:r>
          </w:p>
        </w:tc>
        <w:tc>
          <w:tcPr>
            <w:tcW w:type="dxa" w:w="2340"/>
            <w:tcW w:w="1560" w:type="dxa"/>
            <w:tcMar>
              <w:top w:w="40" w:type="dxa"/>
              <w:bottom w:w="40" w:type="dxa"/>
              <w:left w:w="90" w:type="dxa"/>
              <w:right w:w="90" w:type="dxa"/>
            </w:tcMar>
          </w:tcPr>
          <w:p>
            <w:r>
              <w:rPr>
                <w:b/>
                <w:color w:val="B03A3A"/>
                <w:sz w:val="17"/>
              </w:rPr>
              <w:t>STRONG → WEAK</w:t>
            </w:r>
          </w:p>
        </w:tc>
        <w:tc>
          <w:tcPr>
            <w:tcW w:type="dxa" w:w="2340"/>
            <w:tcW w:w="5080" w:type="dxa"/>
            <w:tcMar>
              <w:top w:w="40" w:type="dxa"/>
              <w:bottom w:w="40" w:type="dxa"/>
              <w:left w:w="90" w:type="dxa"/>
              <w:right w:w="90" w:type="dxa"/>
            </w:tcMar>
          </w:tcPr>
          <w:p>
            <w:r>
              <w:rPr>
                <w:sz w:val="17"/>
              </w:rPr>
              <w:t>Obvious: Salesforce Agentforce / Intercom Fin / Zendesk / Google US12,282,731. Demote to narrow dependent of C7.</w:t>
            </w:r>
          </w:p>
        </w:tc>
      </w:tr>
    </w:tbl>
    <w:p>
      <w:pPr>
        <w:spacing w:after="120"/>
      </w:pPr>
      <w:r>
        <w:rPr>
          <w:b w:val="0"/>
          <w:i w:val="0"/>
          <w:sz w:val="21"/>
        </w:rPr>
      </w:r>
    </w:p>
    <w:p>
      <w:pPr>
        <w:spacing w:after="120"/>
      </w:pPr>
      <w:r>
        <w:rPr>
          <w:b w:val="0"/>
          <w:i/>
          <w:sz w:val="21"/>
        </w:rPr>
        <w:t>Board one-liner: a credible patent-pending position and a real (if narrow) inventive core anchored on Claims 2 and 7 — not the broad nine-claim monopoly the earlier drafts implied. §6 sets out restructuring; §7 the counsel actions; §8 the regulatory items.</w:t>
      </w:r>
    </w:p>
    <w:p>
      <w:r>
        <w:br w:type="page"/>
      </w:r>
    </w:p>
    <w:p>
      <w:pPr>
        <w:pStyle w:val="Heading1"/>
      </w:pPr>
      <w:r>
        <w:t>1. Platform Overview</w:t>
      </w:r>
    </w:p>
    <w:p>
      <w:pPr>
        <w:spacing w:after="120"/>
      </w:pPr>
      <w:r>
        <w:rPr>
          <w:b w:val="0"/>
          <w:i w:val="0"/>
          <w:sz w:val="21"/>
        </w:rPr>
        <w:t>TrustSquare is a mobile-first anonymous marketplace connecting buyers with verified anonymous sellers through a non-refundable introduction currency called Tuppence. The platform operates exclusively as an introduction intermediary — it does not conclude transactions, hold client funds beyond the Tuppence introduction currency, provide financial advice, or act as a financial intermediary under FAIS or any other regulatory framework.</w:t>
      </w:r>
    </w:p>
    <w:p>
      <w:pPr>
        <w:spacing w:after="120"/>
      </w:pPr>
      <w:r>
        <w:rPr>
          <w:b w:val="0"/>
          <w:i w:val="0"/>
          <w:sz w:val="21"/>
        </w:rPr>
        <w:t>Live at trustsquare.co (BEA v1.3.4); Trustsquare (Pty) Ltd, Reg 2026/340128/07, South Africa. 56 live listings across Pretoria as of May 2026. Three independent revenue streams: subscription tiers ($0–$100/mo, five tiers, slot-gated); Tuppence introduction fees ($2 per accepted introduction); AI services micro-payments (1–3 Tuppence per AI call). Tuppence per-introduction cost is architecturally separate from subscription pricing.</w:t>
      </w:r>
    </w:p>
    <w:p>
      <w:pPr>
        <w:spacing w:after="120"/>
      </w:pPr>
      <w:r>
        <w:rPr>
          <w:b w:val="0"/>
          <w:i w:val="0"/>
          <w:sz w:val="21"/>
        </w:rPr>
        <w:t>As of Session 94 the platform also operates an AI-mediated inbound email triage / conditional-response system (Claim 9), extending the AI-services and AI-guardrail architecture to customer-communication handling.</w:t>
      </w:r>
    </w:p>
    <w:p>
      <w:pPr>
        <w:pStyle w:val="Heading1"/>
      </w:pPr>
      <w:r>
        <w:t>2. Core Claim — Commitment-Gated Anonymous Introduction</w:t>
      </w:r>
    </w:p>
    <w:p>
      <w:pPr>
        <w:pStyle w:val="Heading2"/>
      </w:pPr>
      <w:r>
        <w:t>2.1 Background</w:t>
      </w:r>
    </w:p>
    <w:p>
      <w:pPr>
        <w:spacing w:after="120"/>
      </w:pPr>
      <w:r>
        <w:rPr>
          <w:b w:val="0"/>
          <w:i w:val="0"/>
          <w:sz w:val="21"/>
        </w:rPr>
        <w:t>Existing marketplace platforms disclose seller identity and contact details either freely or upon registration. None require a buyer to make an irreversible commitment signal — surrendering a non-refundable unit of value — before any identifying information about the seller is disclosed. The result is a high volume of low-quality, uncommitted inquiries that burden sellers.</w:t>
      </w:r>
    </w:p>
    <w:p>
      <w:pPr>
        <w:pStyle w:val="Heading2"/>
      </w:pPr>
      <w:r>
        <w:t>2.2 Claim Language</w:t>
      </w:r>
    </w:p>
    <w:p>
      <w:pPr>
        <w:spacing w:after="120"/>
      </w:pPr>
      <w:r>
        <w:rPr>
          <w:b/>
          <w:i w:val="0"/>
          <w:sz w:val="21"/>
        </w:rPr>
        <w:t>A method for facilitating anonymous commercial introductions between buyers and sellers on a digital marketplace platform, comprising:</w:t>
      </w:r>
    </w:p>
    <w:tbl>
      <w:tblPr>
        <w:tblW w:type="auto" w:w="0"/>
        <w:tblBorders>
          <w:top w:val="single" w:sz="6" w:space="0" w:color="CFD9E2"/>
          <w:left w:val="single" w:sz="6" w:space="0" w:color="CFD9E2"/>
          <w:bottom w:val="single" w:sz="6" w:space="0" w:color="CFD9E2"/>
          <w:right w:val="single" w:sz="6" w:space="0" w:color="CFD9E2"/>
        </w:tblBorders>
        <w:tblLook w:firstColumn="1" w:firstRow="1" w:lastColumn="0" w:lastRow="0" w:noHBand="0" w:noVBand="1" w:val="04A0"/>
      </w:tblPr>
      <w:tblGrid>
        <w:gridCol w:w="9360"/>
      </w:tblGrid>
      <w:tr>
        <w:tc>
          <w:tcPr>
            <w:tcW w:type="dxa" w:w="9360"/>
            <w:shd w:val="clear" w:fill="F5F8FB"/>
          </w:tcPr>
          <w:p>
            <w:r>
              <w:rPr>
                <w:b/>
                <w:color w:val="2E5A88"/>
                <w:sz w:val="21"/>
              </w:rPr>
              <w:t>Element 1 — Seller Anonymity Preservation</w:t>
            </w:r>
            <w:r>
              <w:t xml:space="preserve">  —  </w:t>
            </w:r>
            <w:r>
              <w:rPr>
                <w:sz w:val="20"/>
              </w:rPr>
              <w:t>Seller identity, contact details and location are withheld from all buyers at all times prior to a mutually accepted introduction. A verified Trust Score is displayed to buyers in lieu of identifying information.</w:t>
            </w:r>
          </w:p>
        </w:tc>
      </w:tr>
    </w:tbl>
    <w:p>
      <w:pPr>
        <w:spacing w:after="20"/>
      </w:pPr>
    </w:p>
    <w:tbl>
      <w:tblPr>
        <w:tblW w:type="auto" w:w="0"/>
        <w:tblBorders>
          <w:top w:val="single" w:sz="6" w:space="0" w:color="CFD9E2"/>
          <w:left w:val="single" w:sz="6" w:space="0" w:color="CFD9E2"/>
          <w:bottom w:val="single" w:sz="6" w:space="0" w:color="CFD9E2"/>
          <w:right w:val="single" w:sz="6" w:space="0" w:color="CFD9E2"/>
        </w:tblBorders>
        <w:tblLook w:firstColumn="1" w:firstRow="1" w:lastColumn="0" w:lastRow="0" w:noHBand="0" w:noVBand="1" w:val="04A0"/>
      </w:tblPr>
      <w:tblGrid>
        <w:gridCol w:w="9360"/>
      </w:tblGrid>
      <w:tr>
        <w:tc>
          <w:tcPr>
            <w:tcW w:type="dxa" w:w="9360"/>
            <w:shd w:val="clear" w:fill="F5F8FB"/>
          </w:tcPr>
          <w:p>
            <w:r>
              <w:rPr>
                <w:b/>
                <w:color w:val="2E5A88"/>
                <w:sz w:val="21"/>
              </w:rPr>
              <w:t>Element 2 — Non-Refundable Introduction Currency</w:t>
            </w:r>
            <w:r>
              <w:t xml:space="preserve">  —  </w:t>
            </w:r>
            <w:r>
              <w:rPr>
                <w:sz w:val="20"/>
              </w:rPr>
              <w:t>A platform-native unit (Tuppence, 1T = USD $2) acquired through a payment mechanism and consumed, without refund or recovery under any circumstances, at the moment a buyer initiates an introduction request. Non-refundability is structurally enforced — an architectural property, not a policy choice. The irreversibility is a commitment signal visible to the seller before accept/decline. [Banks Act: confirmed NO RISK — §8.]</w:t>
            </w:r>
          </w:p>
        </w:tc>
      </w:tr>
    </w:tbl>
    <w:p>
      <w:pPr>
        <w:spacing w:after="20"/>
      </w:pPr>
    </w:p>
    <w:tbl>
      <w:tblPr>
        <w:tblW w:type="auto" w:w="0"/>
        <w:tblBorders>
          <w:top w:val="single" w:sz="6" w:space="0" w:color="CFD9E2"/>
          <w:left w:val="single" w:sz="6" w:space="0" w:color="CFD9E2"/>
          <w:bottom w:val="single" w:sz="6" w:space="0" w:color="CFD9E2"/>
          <w:right w:val="single" w:sz="6" w:space="0" w:color="CFD9E2"/>
        </w:tblBorders>
        <w:tblLook w:firstColumn="1" w:firstRow="1" w:lastColumn="0" w:lastRow="0" w:noHBand="0" w:noVBand="1" w:val="04A0"/>
      </w:tblPr>
      <w:tblGrid>
        <w:gridCol w:w="9360"/>
      </w:tblGrid>
      <w:tr>
        <w:tc>
          <w:tcPr>
            <w:tcW w:type="dxa" w:w="9360"/>
            <w:shd w:val="clear" w:fill="F5F8FB"/>
          </w:tcPr>
          <w:p>
            <w:r>
              <w:rPr>
                <w:b/>
                <w:color w:val="2E5A88"/>
                <w:sz w:val="21"/>
              </w:rPr>
              <w:t>Element 2A — Distinction from Referral / Commission Fees (express limitation)</w:t>
            </w:r>
            <w:r>
              <w:t xml:space="preserve">  —  </w:t>
            </w:r>
            <w:r>
              <w:rPr>
                <w:sz w:val="20"/>
              </w:rPr>
              <w:t>On every axis the inverse of a referral/finder’s/commission fee: (i) BUYER-paid; (ii) FIXED, never a % of price/value; (iii) consumed BEFORE any introduction; (iv) NON-REFUNDABLE regardless of outcome; (v) paid BLIND into mutual anonymity. Anonymity (Element 1) and the non-refundable pre-introduction charge are inseparable. Strict non-refundability and fixed character are load-bearing for novelty.</w:t>
            </w:r>
          </w:p>
        </w:tc>
      </w:tr>
    </w:tbl>
    <w:p>
      <w:pPr>
        <w:spacing w:after="20"/>
      </w:pPr>
    </w:p>
    <w:tbl>
      <w:tblPr>
        <w:tblW w:type="auto" w:w="0"/>
        <w:tblBorders>
          <w:top w:val="single" w:sz="6" w:space="0" w:color="CFD9E2"/>
          <w:left w:val="single" w:sz="6" w:space="0" w:color="CFD9E2"/>
          <w:bottom w:val="single" w:sz="6" w:space="0" w:color="CFD9E2"/>
          <w:right w:val="single" w:sz="6" w:space="0" w:color="CFD9E2"/>
        </w:tblBorders>
        <w:tblLook w:firstColumn="1" w:firstRow="1" w:lastColumn="0" w:lastRow="0" w:noHBand="0" w:noVBand="1" w:val="04A0"/>
      </w:tblPr>
      <w:tblGrid>
        <w:gridCol w:w="9360"/>
      </w:tblGrid>
      <w:tr>
        <w:tc>
          <w:tcPr>
            <w:tcW w:type="dxa" w:w="9360"/>
            <w:shd w:val="clear" w:fill="F5F8FB"/>
          </w:tcPr>
          <w:p>
            <w:r>
              <w:rPr>
                <w:b/>
                <w:color w:val="2E5A88"/>
                <w:sz w:val="21"/>
              </w:rPr>
              <w:t>Element 3 — Commitment-Gated Identity Disclosure</w:t>
            </w:r>
            <w:r>
              <w:t xml:space="preserve">  —  </w:t>
            </w:r>
            <w:r>
              <w:rPr>
                <w:sz w:val="20"/>
              </w:rPr>
              <w:t>Seller identifying information is disclosed to the buyer only on the seller’s affirmative acceptance. Neither identity is disclosed prior to mutual agreement.</w:t>
            </w:r>
          </w:p>
        </w:tc>
      </w:tr>
    </w:tbl>
    <w:p>
      <w:pPr>
        <w:spacing w:after="20"/>
      </w:pPr>
    </w:p>
    <w:tbl>
      <w:tblPr>
        <w:tblW w:type="auto" w:w="0"/>
        <w:tblBorders>
          <w:top w:val="single" w:sz="6" w:space="0" w:color="CFD9E2"/>
          <w:left w:val="single" w:sz="6" w:space="0" w:color="CFD9E2"/>
          <w:bottom w:val="single" w:sz="6" w:space="0" w:color="CFD9E2"/>
          <w:right w:val="single" w:sz="6" w:space="0" w:color="CFD9E2"/>
        </w:tblBorders>
        <w:tblLook w:firstColumn="1" w:firstRow="1" w:lastColumn="0" w:lastRow="0" w:noHBand="0" w:noVBand="1" w:val="04A0"/>
      </w:tblPr>
      <w:tblGrid>
        <w:gridCol w:w="9360"/>
      </w:tblGrid>
      <w:tr>
        <w:tc>
          <w:tcPr>
            <w:tcW w:type="dxa" w:w="9360"/>
            <w:shd w:val="clear" w:fill="F5F8FB"/>
          </w:tcPr>
          <w:p>
            <w:r>
              <w:rPr>
                <w:b/>
                <w:color w:val="2E5A88"/>
                <w:sz w:val="21"/>
              </w:rPr>
              <w:t>Element 4 — Trust Score-Mediated Matching</w:t>
            </w:r>
            <w:r>
              <w:t xml:space="preserve">  —  </w:t>
            </w:r>
            <w:r>
              <w:rPr>
                <w:sz w:val="20"/>
              </w:rPr>
              <w:t>Trust Scores are surfaced as the primary buyer-facing evaluation signal prior to committing Tuppence. The score is computed from verifiable, platform-observed data, not self-reported.</w:t>
            </w:r>
          </w:p>
        </w:tc>
      </w:tr>
    </w:tbl>
    <w:p>
      <w:pPr>
        <w:spacing w:after="20"/>
      </w:pPr>
    </w:p>
    <w:p>
      <w:pPr>
        <w:spacing w:after="120"/>
      </w:pPr>
      <w:r>
        <w:rPr>
          <w:b w:val="0"/>
          <w:i/>
          <w:sz w:val="21"/>
        </w:rPr>
        <w:t>Novelty statement: no existing platform combines permanent seller anonymity until mutual agreement; structurally non-refundable buyer commitment prior to identity disclosure; a platform-computed trust signal as the primary pre-commitment mechanism; and per-introduction seller discretion. §5 sets out the prior art bearing on each element individually and why the COMBINATION survives where the elements do not.</w:t>
      </w:r>
    </w:p>
    <w:p>
      <w:pPr>
        <w:pStyle w:val="Heading1"/>
      </w:pPr>
      <w:r>
        <w:t>3. Full Claim Schedule (9 Claims) — Re-Rated</w:t>
      </w:r>
    </w:p>
    <w:p>
      <w:pPr>
        <w:spacing w:after="120"/>
      </w:pPr>
      <w:r>
        <w:rPr>
          <w:b w:val="0"/>
          <w:i w:val="0"/>
          <w:sz w:val="21"/>
        </w:rPr>
        <w:t>Each claim below carries its v5 rating and the closest prior art identified in the June 2026 search. Ratings: STRONG / MODERATE / WEAK / AT-RISK (specific near-anticipatory reference). The protectable strategy (see §6) consolidates the portfolio onto Claims 2 and 7.</w:t>
      </w:r>
    </w:p>
    <w:tbl>
      <w:tblPr>
        <w:tblW w:type="auto" w:w="0"/>
        <w:tblBorders>
          <w:top w:val="single" w:sz="6" w:space="0" w:color="CFD9E2"/>
          <w:left w:val="single" w:sz="6" w:space="0" w:color="CFD9E2"/>
          <w:bottom w:val="single" w:sz="6" w:space="0" w:color="CFD9E2"/>
          <w:right w:val="single" w:sz="6" w:space="0" w:color="CFD9E2"/>
        </w:tblBorders>
        <w:tblLook w:firstColumn="1" w:firstRow="1" w:lastColumn="0" w:lastRow="0" w:noHBand="0" w:noVBand="1" w:val="04A0"/>
      </w:tblPr>
      <w:tblGrid>
        <w:gridCol w:w="9360"/>
      </w:tblGrid>
      <w:tr>
        <w:tc>
          <w:tcPr>
            <w:tcW w:type="dxa" w:w="9360"/>
            <w:shd w:val="clear" w:fill="F5F8FB"/>
          </w:tcPr>
          <w:p>
            <w:r>
              <w:rPr>
                <w:b/>
                <w:color w:val="B03A3A"/>
                <w:sz w:val="21"/>
              </w:rPr>
              <w:t>Claim 1: Unified Participation Model   [WEAK]</w:t>
            </w:r>
            <w:r>
              <w:t xml:space="preserve">  —  </w:t>
            </w:r>
            <w:r>
              <w:rPr>
                <w:sz w:val="20"/>
              </w:rPr>
              <w:t>Role derived from transaction state, not a database column. Single user table; the same user may be buyer and seller simultaneously; role emerges from activity (listings published, Tuppence held).</w:t>
            </w:r>
          </w:p>
        </w:tc>
      </w:tr>
    </w:tbl>
    <w:p>
      <w:pPr>
        <w:spacing w:after="20"/>
      </w:pPr>
    </w:p>
    <w:tbl>
      <w:tblPr>
        <w:tblW w:type="auto" w:w="0"/>
        <w:tblBorders>
          <w:top w:val="single" w:sz="6" w:space="0" w:color="E6C577"/>
          <w:left w:val="single" w:sz="6" w:space="0" w:color="E6C577"/>
          <w:bottom w:val="single" w:sz="6" w:space="0" w:color="E6C577"/>
          <w:right w:val="single" w:sz="6" w:space="0" w:color="E6C577"/>
        </w:tblBorders>
        <w:tblLook w:firstColumn="1" w:firstRow="1" w:lastColumn="0" w:lastRow="0" w:noHBand="0" w:noVBand="1" w:val="04A0"/>
      </w:tblPr>
      <w:tblGrid>
        <w:gridCol w:w="9360"/>
      </w:tblGrid>
      <w:tr>
        <w:tc>
          <w:tcPr>
            <w:tcW w:type="dxa" w:w="9360"/>
            <w:shd w:val="clear" w:fill="FFF4E0"/>
          </w:tcPr>
          <w:p>
            <w:r>
              <w:rPr>
                <w:b/>
                <w:color w:val="9A6B00"/>
                <w:sz w:val="21"/>
              </w:rPr>
              <w:t>Closest prior art / action:</w:t>
            </w:r>
            <w:r>
              <w:t xml:space="preserve">  —  </w:t>
            </w:r>
            <w:r>
              <w:rPr>
                <w:sz w:val="20"/>
              </w:rPr>
              <w:t>US7958019B2 / US20070211651A1 “Peer-to-peer trading platform with roles-based transactions” — one account holding a plurality of roles. Role-from-state is a routine design choice. RECOMMEND demote to a dependent of Claim 7; if retained, recite a technical effect (elimination of schema-migration on role transition) per Pre-Filing memo §4.5.</w:t>
            </w:r>
          </w:p>
        </w:tc>
      </w:tr>
    </w:tbl>
    <w:p>
      <w:pPr>
        <w:spacing w:after="20"/>
      </w:pPr>
    </w:p>
    <w:tbl>
      <w:tblPr>
        <w:tblW w:type="auto" w:w="0"/>
        <w:tblBorders>
          <w:top w:val="single" w:sz="6" w:space="0" w:color="CFD9E2"/>
          <w:left w:val="single" w:sz="6" w:space="0" w:color="CFD9E2"/>
          <w:bottom w:val="single" w:sz="6" w:space="0" w:color="CFD9E2"/>
          <w:right w:val="single" w:sz="6" w:space="0" w:color="CFD9E2"/>
        </w:tblBorders>
        <w:tblLook w:firstColumn="1" w:firstRow="1" w:lastColumn="0" w:lastRow="0" w:noHBand="0" w:noVBand="1" w:val="04A0"/>
      </w:tblPr>
      <w:tblGrid>
        <w:gridCol w:w="9360"/>
      </w:tblGrid>
      <w:tr>
        <w:tc>
          <w:tcPr>
            <w:tcW w:type="dxa" w:w="9360"/>
            <w:shd w:val="clear" w:fill="F5F8FB"/>
          </w:tcPr>
          <w:p>
            <w:r>
              <w:rPr>
                <w:b/>
                <w:color w:val="3B7A57"/>
                <w:sz w:val="21"/>
              </w:rPr>
              <w:t>Claim 2: Tuppence Introduction Currency   [MODERATE]</w:t>
            </w:r>
            <w:r>
              <w:t xml:space="preserve">  —  </w:t>
            </w:r>
            <w:r>
              <w:rPr>
                <w:sz w:val="20"/>
              </w:rPr>
              <w:t>Non-transferable, non-refundable, fixed, BUYER-paid commitment unit (1T=$2). Spent blind, pre-introduction, outcome-independent. Functions simultaneously as spam filter, commitment signal, and seller-quality input. Structural inverse of a referral/commission fee on every axis (Element 2A).</w:t>
            </w:r>
          </w:p>
        </w:tc>
      </w:tr>
    </w:tbl>
    <w:p>
      <w:pPr>
        <w:spacing w:after="20"/>
      </w:pPr>
    </w:p>
    <w:tbl>
      <w:tblPr>
        <w:tblW w:type="auto" w:w="0"/>
        <w:tblBorders>
          <w:top w:val="single" w:sz="6" w:space="0" w:color="E6C577"/>
          <w:left w:val="single" w:sz="6" w:space="0" w:color="E6C577"/>
          <w:bottom w:val="single" w:sz="6" w:space="0" w:color="E6C577"/>
          <w:right w:val="single" w:sz="6" w:space="0" w:color="E6C577"/>
        </w:tblBorders>
        <w:tblLook w:firstColumn="1" w:firstRow="1" w:lastColumn="0" w:lastRow="0" w:noHBand="0" w:noVBand="1" w:val="04A0"/>
      </w:tblPr>
      <w:tblGrid>
        <w:gridCol w:w="9360"/>
      </w:tblGrid>
      <w:tr>
        <w:tc>
          <w:tcPr>
            <w:tcW w:type="dxa" w:w="9360"/>
            <w:shd w:val="clear" w:fill="FFF4E0"/>
          </w:tcPr>
          <w:p>
            <w:r>
              <w:rPr>
                <w:b/>
                <w:color w:val="9A6B00"/>
                <w:sz w:val="21"/>
              </w:rPr>
              <w:t>Closest prior art / action:</w:t>
            </w:r>
            <w:r>
              <w:t xml:space="preserve">  —  </w:t>
            </w:r>
            <w:r>
              <w:rPr>
                <w:sz w:val="20"/>
              </w:rPr>
              <w:t>Bark.com / Thumbtack pay-to-contact credits are SELLER-paid — so the buyer-paid direction is a genuine inversion of the entire lead-gen family. Cost-based anti-spam (Gates email-stamp, Boxbe, Yahoo CentMail) shows non-refundable pay-to-contact is old; LinkedIn InMail REFUNDS on response (opposite policy). The six-way bundle was NOT found pre-combined. KEEP as an independent anchor; expect inventive-step pressure that it is an obvious reversal — pre-empt with the trust-score feedback loop and the no-transfer-endpoint recitation.</w:t>
            </w:r>
          </w:p>
        </w:tc>
      </w:tr>
    </w:tbl>
    <w:p>
      <w:pPr>
        <w:spacing w:after="20"/>
      </w:pPr>
    </w:p>
    <w:tbl>
      <w:tblPr>
        <w:tblW w:type="auto" w:w="0"/>
        <w:tblBorders>
          <w:top w:val="single" w:sz="6" w:space="0" w:color="CFD9E2"/>
          <w:left w:val="single" w:sz="6" w:space="0" w:color="CFD9E2"/>
          <w:bottom w:val="single" w:sz="6" w:space="0" w:color="CFD9E2"/>
          <w:right w:val="single" w:sz="6" w:space="0" w:color="CFD9E2"/>
        </w:tblBorders>
        <w:tblLook w:firstColumn="1" w:firstRow="1" w:lastColumn="0" w:lastRow="0" w:noHBand="0" w:noVBand="1" w:val="04A0"/>
      </w:tblPr>
      <w:tblGrid>
        <w:gridCol w:w="9360"/>
      </w:tblGrid>
      <w:tr>
        <w:tc>
          <w:tcPr>
            <w:tcW w:type="dxa" w:w="9360"/>
            <w:shd w:val="clear" w:fill="F5F8FB"/>
          </w:tcPr>
          <w:p>
            <w:r>
              <w:rPr>
                <w:b/>
                <w:color w:val="B03A3A"/>
                <w:sz w:val="21"/>
              </w:rPr>
              <w:t>Claim 3: Anonymous Introduction Protocol   [AT RISK]</w:t>
            </w:r>
            <w:r>
              <w:t xml:space="preserve">  —  </w:t>
            </w:r>
            <w:r>
              <w:rPr>
                <w:sz w:val="20"/>
              </w:rPr>
              <w:t>No PII transmitted until bilateral consent; on the seller’s acceptance both parties’ contact details unlock SIMULTANEOUSLY as a single atomic event. On decline, the introduction record terminates and nothing is disclosed.</w:t>
            </w:r>
          </w:p>
        </w:tc>
      </w:tr>
    </w:tbl>
    <w:p>
      <w:pPr>
        <w:spacing w:after="20"/>
      </w:pPr>
    </w:p>
    <w:tbl>
      <w:tblPr>
        <w:tblW w:type="auto" w:w="0"/>
        <w:tblBorders>
          <w:top w:val="single" w:sz="6" w:space="0" w:color="E6C577"/>
          <w:left w:val="single" w:sz="6" w:space="0" w:color="E6C577"/>
          <w:bottom w:val="single" w:sz="6" w:space="0" w:color="E6C577"/>
          <w:right w:val="single" w:sz="6" w:space="0" w:color="E6C577"/>
        </w:tblBorders>
        <w:tblLook w:firstColumn="1" w:firstRow="1" w:lastColumn="0" w:lastRow="0" w:noHBand="0" w:noVBand="1" w:val="04A0"/>
      </w:tblPr>
      <w:tblGrid>
        <w:gridCol w:w="9360"/>
      </w:tblGrid>
      <w:tr>
        <w:tc>
          <w:tcPr>
            <w:tcW w:type="dxa" w:w="9360"/>
            <w:shd w:val="clear" w:fill="FFF4E0"/>
          </w:tcPr>
          <w:p>
            <w:r>
              <w:rPr>
                <w:b/>
                <w:color w:val="9A6B00"/>
                <w:sz w:val="21"/>
              </w:rPr>
              <w:t>Closest prior art / action:</w:t>
            </w:r>
            <w:r>
              <w:t xml:space="preserve">  —  </w:t>
            </w:r>
            <w:r>
              <w:rPr>
                <w:sz w:val="20"/>
              </w:rPr>
              <w:t>US20120005033A1 (Pingsby) “Anonymous Mutual-Interest-Based Social Introduction System”: on mutual interest the system automatically notifies BOTH parties and BOTH learn the identity — bilateral, simultaneous, anonymous-until-second-consent disclosure, in a dating context (~2010). Also US7203674B2, US8639607B2 (escrow-of-identity), US11023942. ACTION: counsel must read Pingsby’s CLAIMS, not just the spec, before filing. Narrow to a marketplace-specific atomic, leak-free protocol/state-machine with an ordering/consistency guarantee, or demote.</w:t>
            </w:r>
          </w:p>
        </w:tc>
      </w:tr>
    </w:tbl>
    <w:p>
      <w:pPr>
        <w:spacing w:after="20"/>
      </w:pPr>
    </w:p>
    <w:tbl>
      <w:tblPr>
        <w:tblW w:type="auto" w:w="0"/>
        <w:tblBorders>
          <w:top w:val="single" w:sz="6" w:space="0" w:color="CFD9E2"/>
          <w:left w:val="single" w:sz="6" w:space="0" w:color="CFD9E2"/>
          <w:bottom w:val="single" w:sz="6" w:space="0" w:color="CFD9E2"/>
          <w:right w:val="single" w:sz="6" w:space="0" w:color="CFD9E2"/>
        </w:tblBorders>
        <w:tblLook w:firstColumn="1" w:firstRow="1" w:lastColumn="0" w:lastRow="0" w:noHBand="0" w:noVBand="1" w:val="04A0"/>
      </w:tblPr>
      <w:tblGrid>
        <w:gridCol w:w="9360"/>
      </w:tblGrid>
      <w:tr>
        <w:tc>
          <w:tcPr>
            <w:tcW w:type="dxa" w:w="9360"/>
            <w:shd w:val="clear" w:fill="F5F8FB"/>
          </w:tcPr>
          <w:p>
            <w:r>
              <w:rPr>
                <w:b/>
                <w:color w:val="B03A3A"/>
                <w:sz w:val="21"/>
              </w:rPr>
              <w:t>Claim 4: Trust Score Composite   [WEAK]</w:t>
            </w:r>
            <w:r>
              <w:t xml:space="preserve">  —  </w:t>
            </w:r>
            <w:r>
              <w:rPr>
                <w:sz w:val="20"/>
              </w:rPr>
              <w:t>Server-computed 0–100 composite (credentials 30%, completed/accepted 25%, ratings 25%, response 10%, tenure 10%). Not self-reported or self-modifiable.</w:t>
            </w:r>
          </w:p>
        </w:tc>
      </w:tr>
    </w:tbl>
    <w:p>
      <w:pPr>
        <w:spacing w:after="20"/>
      </w:pPr>
    </w:p>
    <w:tbl>
      <w:tblPr>
        <w:tblW w:type="auto" w:w="0"/>
        <w:tblBorders>
          <w:top w:val="single" w:sz="6" w:space="0" w:color="E6C577"/>
          <w:left w:val="single" w:sz="6" w:space="0" w:color="E6C577"/>
          <w:bottom w:val="single" w:sz="6" w:space="0" w:color="E6C577"/>
          <w:right w:val="single" w:sz="6" w:space="0" w:color="E6C577"/>
        </w:tblBorders>
        <w:tblLook w:firstColumn="1" w:firstRow="1" w:lastColumn="0" w:lastRow="0" w:noHBand="0" w:noVBand="1" w:val="04A0"/>
      </w:tblPr>
      <w:tblGrid>
        <w:gridCol w:w="9360"/>
      </w:tblGrid>
      <w:tr>
        <w:tc>
          <w:tcPr>
            <w:tcW w:type="dxa" w:w="9360"/>
            <w:shd w:val="clear" w:fill="FFF4E0"/>
          </w:tcPr>
          <w:p>
            <w:r>
              <w:rPr>
                <w:b/>
                <w:color w:val="9A6B00"/>
                <w:sz w:val="21"/>
              </w:rPr>
              <w:t>Closest prior art / action:</w:t>
            </w:r>
            <w:r>
              <w:t xml:space="preserve">  —  </w:t>
            </w:r>
            <w:r>
              <w:rPr>
                <w:sz w:val="20"/>
              </w:rPr>
              <w:t>eBay feedback (~1998), Airbnb Superhost, Uber ratings, LinkedIn Social Selling Index, Trustpilot. Server-computed reputation is foundational prior art. Demote to dependent (memo Path B) OR narrow to a tamper-prevention subsystem — write-only audit log, server-timestamp binding, deterministic recomputation (memo §8.4, Path A).</w:t>
            </w:r>
          </w:p>
        </w:tc>
      </w:tr>
    </w:tbl>
    <w:p>
      <w:pPr>
        <w:spacing w:after="20"/>
      </w:pPr>
    </w:p>
    <w:tbl>
      <w:tblPr>
        <w:tblW w:type="auto" w:w="0"/>
        <w:tblBorders>
          <w:top w:val="single" w:sz="6" w:space="0" w:color="CFD9E2"/>
          <w:left w:val="single" w:sz="6" w:space="0" w:color="CFD9E2"/>
          <w:bottom w:val="single" w:sz="6" w:space="0" w:color="CFD9E2"/>
          <w:right w:val="single" w:sz="6" w:space="0" w:color="CFD9E2"/>
        </w:tblBorders>
        <w:tblLook w:firstColumn="1" w:firstRow="1" w:lastColumn="0" w:lastRow="0" w:noHBand="0" w:noVBand="1" w:val="04A0"/>
      </w:tblPr>
      <w:tblGrid>
        <w:gridCol w:w="9360"/>
      </w:tblGrid>
      <w:tr>
        <w:tc>
          <w:tcPr>
            <w:tcW w:type="dxa" w:w="9360"/>
            <w:shd w:val="clear" w:fill="F5F8FB"/>
          </w:tcPr>
          <w:p>
            <w:r>
              <w:rPr>
                <w:b/>
                <w:color w:val="B03A3A"/>
                <w:sz w:val="21"/>
              </w:rPr>
              <w:t>Claim 5: Geo-Hierarchical Visibility Gating   [WEAK]</w:t>
            </w:r>
            <w:r>
              <w:t xml:space="preserve">  —  </w:t>
            </w:r>
            <w:r>
              <w:rPr>
                <w:sz w:val="20"/>
              </w:rPr>
              <w:t>4-level geo (Country–Region–City–Suburb); listing visibility gated by subscription tier (not ad spend). ZA seeded with 54 cities, 11,679 suburbs.</w:t>
            </w:r>
          </w:p>
        </w:tc>
      </w:tr>
    </w:tbl>
    <w:p>
      <w:pPr>
        <w:spacing w:after="20"/>
      </w:pPr>
    </w:p>
    <w:tbl>
      <w:tblPr>
        <w:tblW w:type="auto" w:w="0"/>
        <w:tblBorders>
          <w:top w:val="single" w:sz="6" w:space="0" w:color="E6C577"/>
          <w:left w:val="single" w:sz="6" w:space="0" w:color="E6C577"/>
          <w:bottom w:val="single" w:sz="6" w:space="0" w:color="E6C577"/>
          <w:right w:val="single" w:sz="6" w:space="0" w:color="E6C577"/>
        </w:tblBorders>
        <w:tblLook w:firstColumn="1" w:firstRow="1" w:lastColumn="0" w:lastRow="0" w:noHBand="0" w:noVBand="1" w:val="04A0"/>
      </w:tblPr>
      <w:tblGrid>
        <w:gridCol w:w="9360"/>
      </w:tblGrid>
      <w:tr>
        <w:tc>
          <w:tcPr>
            <w:tcW w:type="dxa" w:w="9360"/>
            <w:shd w:val="clear" w:fill="FFF4E0"/>
          </w:tcPr>
          <w:p>
            <w:r>
              <w:rPr>
                <w:b/>
                <w:color w:val="9A6B00"/>
                <w:sz w:val="21"/>
              </w:rPr>
              <w:t>Closest prior art / action:</w:t>
            </w:r>
            <w:r>
              <w:t xml:space="preserve">  —  </w:t>
            </w:r>
            <w:r>
              <w:rPr>
                <w:sz w:val="20"/>
              </w:rPr>
              <w:t>Tiered classifieds plugins (RadiusTheme Classified Listing, GeoDirectory, HivePress) routinely gate radius/region visibility by plan. Reframe as data-access-layer query-rewriting middleware with write-time referential integrity (memo §8.5), or demote to a dependent of Claim 7.</w:t>
            </w:r>
          </w:p>
        </w:tc>
      </w:tr>
    </w:tbl>
    <w:p>
      <w:pPr>
        <w:spacing w:after="20"/>
      </w:pPr>
    </w:p>
    <w:tbl>
      <w:tblPr>
        <w:tblW w:type="auto" w:w="0"/>
        <w:tblBorders>
          <w:top w:val="single" w:sz="6" w:space="0" w:color="CFD9E2"/>
          <w:left w:val="single" w:sz="6" w:space="0" w:color="CFD9E2"/>
          <w:bottom w:val="single" w:sz="6" w:space="0" w:color="CFD9E2"/>
          <w:right w:val="single" w:sz="6" w:space="0" w:color="CFD9E2"/>
        </w:tblBorders>
        <w:tblLook w:firstColumn="1" w:firstRow="1" w:lastColumn="0" w:lastRow="0" w:noHBand="0" w:noVBand="1" w:val="04A0"/>
      </w:tblPr>
      <w:tblGrid>
        <w:gridCol w:w="9360"/>
      </w:tblGrid>
      <w:tr>
        <w:tc>
          <w:tcPr>
            <w:tcW w:type="dxa" w:w="9360"/>
            <w:shd w:val="clear" w:fill="F5F8FB"/>
          </w:tcPr>
          <w:p>
            <w:r>
              <w:rPr>
                <w:b/>
                <w:color w:val="9A6B00"/>
                <w:sz w:val="21"/>
              </w:rPr>
              <w:t>Claim 6: Founding Seller Cohort   [MODERATE-NARROW]</w:t>
            </w:r>
            <w:r>
              <w:t xml:space="preserve">  —  </w:t>
            </w:r>
            <w:r>
              <w:rPr>
                <w:sz w:val="20"/>
              </w:rPr>
              <w:t>Permanent priority placement for the initial 60-seller cohort per city; never expires; survives tier changes.</w:t>
            </w:r>
          </w:p>
        </w:tc>
      </w:tr>
    </w:tbl>
    <w:p>
      <w:pPr>
        <w:spacing w:after="20"/>
      </w:pPr>
    </w:p>
    <w:tbl>
      <w:tblPr>
        <w:tblW w:type="auto" w:w="0"/>
        <w:tblBorders>
          <w:top w:val="single" w:sz="6" w:space="0" w:color="E6C577"/>
          <w:left w:val="single" w:sz="6" w:space="0" w:color="E6C577"/>
          <w:bottom w:val="single" w:sz="6" w:space="0" w:color="E6C577"/>
          <w:right w:val="single" w:sz="6" w:space="0" w:color="E6C577"/>
        </w:tblBorders>
        <w:tblLook w:firstColumn="1" w:firstRow="1" w:lastColumn="0" w:lastRow="0" w:noHBand="0" w:noVBand="1" w:val="04A0"/>
      </w:tblPr>
      <w:tblGrid>
        <w:gridCol w:w="9360"/>
      </w:tblGrid>
      <w:tr>
        <w:tc>
          <w:tcPr>
            <w:tcW w:type="dxa" w:w="9360"/>
            <w:shd w:val="clear" w:fill="FFF4E0"/>
          </w:tcPr>
          <w:p>
            <w:r>
              <w:rPr>
                <w:b/>
                <w:color w:val="9A6B00"/>
                <w:sz w:val="21"/>
              </w:rPr>
              <w:t>Closest prior art / action:</w:t>
            </w:r>
            <w:r>
              <w:t xml:space="preserve">  —  </w:t>
            </w:r>
            <w:r>
              <w:rPr>
                <w:sz w:val="20"/>
              </w:rPr>
              <w:t>No exact patent located, but in substance an immutable boolean flag + an ORDER BY boost — a promotional business rule with high eligibility (s25(2)/Alice) exposure. Demote to a dependent of Claim 5/7 and reframe as a bounded cold-start ranking augmentation with a DB-level per-region cardinality constraint (memo §8.6).</w:t>
            </w:r>
          </w:p>
        </w:tc>
      </w:tr>
    </w:tbl>
    <w:p>
      <w:pPr>
        <w:spacing w:after="20"/>
      </w:pPr>
    </w:p>
    <w:tbl>
      <w:tblPr>
        <w:tblW w:type="auto" w:w="0"/>
        <w:tblBorders>
          <w:top w:val="single" w:sz="6" w:space="0" w:color="CFD9E2"/>
          <w:left w:val="single" w:sz="6" w:space="0" w:color="CFD9E2"/>
          <w:bottom w:val="single" w:sz="6" w:space="0" w:color="CFD9E2"/>
          <w:right w:val="single" w:sz="6" w:space="0" w:color="CFD9E2"/>
        </w:tblBorders>
        <w:tblLook w:firstColumn="1" w:firstRow="1" w:lastColumn="0" w:lastRow="0" w:noHBand="0" w:noVBand="1" w:val="04A0"/>
      </w:tblPr>
      <w:tblGrid>
        <w:gridCol w:w="9360"/>
      </w:tblGrid>
      <w:tr>
        <w:tc>
          <w:tcPr>
            <w:tcW w:type="dxa" w:w="9360"/>
            <w:shd w:val="clear" w:fill="F5F8FB"/>
          </w:tcPr>
          <w:p>
            <w:r>
              <w:rPr>
                <w:b/>
                <w:color w:val="3B7A57"/>
                <w:sz w:val="21"/>
              </w:rPr>
              <w:t>Claim 7: Combination Claim + AI Services Layer   [MODERATE-STRONG]</w:t>
            </w:r>
            <w:r>
              <w:t xml:space="preserve">  —  </w:t>
            </w:r>
            <w:r>
              <w:rPr>
                <w:sz w:val="20"/>
              </w:rPr>
              <w:t>Claims 1–6 integrated, extended by: (a) five subscription tiers ($0/$12/$20/$40/$100) with server-enforced slot limits (2/10/25/60/500) at publish time; (b) 10 AI services (AI1–AI10) gated by the same Tuppence micro-payment; (c) an AI Guardrail Architecture — an existence gate (indexed registered-user lookup before any Anthropic API call; unknown → HTTP 401; ~0.1ms) and a non-blocking spend register with income-linked threshold alerting.</w:t>
            </w:r>
          </w:p>
        </w:tc>
      </w:tr>
    </w:tbl>
    <w:p>
      <w:pPr>
        <w:spacing w:after="20"/>
      </w:pPr>
    </w:p>
    <w:tbl>
      <w:tblPr>
        <w:tblW w:type="auto" w:w="0"/>
        <w:tblBorders>
          <w:top w:val="single" w:sz="6" w:space="0" w:color="E6C577"/>
          <w:left w:val="single" w:sz="6" w:space="0" w:color="E6C577"/>
          <w:bottom w:val="single" w:sz="6" w:space="0" w:color="E6C577"/>
          <w:right w:val="single" w:sz="6" w:space="0" w:color="E6C577"/>
        </w:tblBorders>
        <w:tblLook w:firstColumn="1" w:firstRow="1" w:lastColumn="0" w:lastRow="0" w:noHBand="0" w:noVBand="1" w:val="04A0"/>
      </w:tblPr>
      <w:tblGrid>
        <w:gridCol w:w="9360"/>
      </w:tblGrid>
      <w:tr>
        <w:tc>
          <w:tcPr>
            <w:tcW w:type="dxa" w:w="9360"/>
            <w:shd w:val="clear" w:fill="FFF4E0"/>
          </w:tcPr>
          <w:p>
            <w:r>
              <w:rPr>
                <w:b/>
                <w:color w:val="9A6B00"/>
                <w:sz w:val="21"/>
              </w:rPr>
              <w:t>Closest prior art / action:</w:t>
            </w:r>
            <w:r>
              <w:t xml:space="preserve">  —  </w:t>
            </w:r>
            <w:r>
              <w:rPr>
                <w:sz w:val="20"/>
              </w:rPr>
              <w:t>No single reference combines this. The existence gate alone is ordinary auth, BUT framed as an access-control / metering mechanism that conditions invocation of an EXTERNAL LLM service it is the single most defensible technical element across US (Alice step 2) and EPO (cf. T1658/15, merchant payment-auth architecture). PORTFOLIO LEAD CLAIM: make “one non-refundable currency spanning human introductions AND AI-service gating, policed by the existence gate” the inventive story.</w:t>
            </w:r>
          </w:p>
        </w:tc>
      </w:tr>
    </w:tbl>
    <w:p>
      <w:pPr>
        <w:spacing w:after="20"/>
      </w:pPr>
    </w:p>
    <w:tbl>
      <w:tblPr>
        <w:tblW w:type="auto" w:w="0"/>
        <w:tblBorders>
          <w:top w:val="single" w:sz="6" w:space="0" w:color="CFD9E2"/>
          <w:left w:val="single" w:sz="6" w:space="0" w:color="CFD9E2"/>
          <w:bottom w:val="single" w:sz="6" w:space="0" w:color="CFD9E2"/>
          <w:right w:val="single" w:sz="6" w:space="0" w:color="CFD9E2"/>
        </w:tblBorders>
        <w:tblLook w:firstColumn="1" w:firstRow="1" w:lastColumn="0" w:lastRow="0" w:noHBand="0" w:noVBand="1" w:val="04A0"/>
      </w:tblPr>
      <w:tblGrid>
        <w:gridCol w:w="9360"/>
      </w:tblGrid>
      <w:tr>
        <w:tc>
          <w:tcPr>
            <w:tcW w:type="dxa" w:w="9360"/>
            <w:shd w:val="clear" w:fill="F5F8FB"/>
          </w:tcPr>
          <w:p>
            <w:r>
              <w:rPr>
                <w:b/>
                <w:color w:val="B03A3A"/>
                <w:sz w:val="21"/>
              </w:rPr>
              <w:t>Claim 8: Heritage Content Linking (dep. C1)   [WEAK]</w:t>
            </w:r>
            <w:r>
              <w:t xml:space="preserve">  —  </w:t>
            </w:r>
            <w:r>
              <w:rPr>
                <w:sz w:val="20"/>
              </w:rPr>
              <w:t>Method: seller-linked structured place-metadata surfaced as a non-transactional overlay on an anonymous listing, with automatic proximity/category linking. Catalogue size and link cap are non-limiting implementation detail.</w:t>
            </w:r>
          </w:p>
        </w:tc>
      </w:tr>
    </w:tbl>
    <w:p>
      <w:pPr>
        <w:spacing w:after="20"/>
      </w:pPr>
    </w:p>
    <w:tbl>
      <w:tblPr>
        <w:tblW w:type="auto" w:w="0"/>
        <w:tblBorders>
          <w:top w:val="single" w:sz="6" w:space="0" w:color="E6C577"/>
          <w:left w:val="single" w:sz="6" w:space="0" w:color="E6C577"/>
          <w:bottom w:val="single" w:sz="6" w:space="0" w:color="E6C577"/>
          <w:right w:val="single" w:sz="6" w:space="0" w:color="E6C577"/>
        </w:tblBorders>
        <w:tblLook w:firstColumn="1" w:firstRow="1" w:lastColumn="0" w:lastRow="0" w:noHBand="0" w:noVBand="1" w:val="04A0"/>
      </w:tblPr>
      <w:tblGrid>
        <w:gridCol w:w="9360"/>
      </w:tblGrid>
      <w:tr>
        <w:tc>
          <w:tcPr>
            <w:tcW w:type="dxa" w:w="9360"/>
            <w:shd w:val="clear" w:fill="FFF4E0"/>
          </w:tcPr>
          <w:p>
            <w:r>
              <w:rPr>
                <w:b/>
                <w:color w:val="9A6B00"/>
                <w:sz w:val="21"/>
              </w:rPr>
              <w:t>Closest prior art / action:</w:t>
            </w:r>
            <w:r>
              <w:t xml:space="preserve">  —  </w:t>
            </w:r>
            <w:r>
              <w:rPr>
                <w:sz w:val="20"/>
              </w:rPr>
              <w:t>Zillow nearby-schools/POI + attendance-zone overlays; Geoapify automatic POI enrichment of listings; AR real-estate POI overlay patents. Auto-attaching proximity POI metadata is conventional; “heritage/UNESCO” is a data-source selection. Keep ONLY as a dependent of Claim 1; do not expect independent grant.</w:t>
            </w:r>
          </w:p>
        </w:tc>
      </w:tr>
    </w:tbl>
    <w:p>
      <w:pPr>
        <w:spacing w:after="20"/>
      </w:pPr>
    </w:p>
    <w:tbl>
      <w:tblPr>
        <w:tblW w:type="auto" w:w="0"/>
        <w:tblBorders>
          <w:top w:val="single" w:sz="6" w:space="0" w:color="CFD9E2"/>
          <w:left w:val="single" w:sz="6" w:space="0" w:color="CFD9E2"/>
          <w:bottom w:val="single" w:sz="6" w:space="0" w:color="CFD9E2"/>
          <w:right w:val="single" w:sz="6" w:space="0" w:color="CFD9E2"/>
        </w:tblBorders>
        <w:tblLook w:firstColumn="1" w:firstRow="1" w:lastColumn="0" w:lastRow="0" w:noHBand="0" w:noVBand="1" w:val="04A0"/>
      </w:tblPr>
      <w:tblGrid>
        <w:gridCol w:w="9360"/>
      </w:tblGrid>
      <w:tr>
        <w:tc>
          <w:tcPr>
            <w:tcW w:type="dxa" w:w="9360"/>
            <w:shd w:val="clear" w:fill="F5F8FB"/>
          </w:tcPr>
          <w:p>
            <w:r>
              <w:rPr>
                <w:b/>
                <w:color w:val="B03A3A"/>
                <w:sz w:val="21"/>
              </w:rPr>
              <w:t>Claim 9: AI-Mediated Inbound Communication Triage   [WEAK]</w:t>
            </w:r>
            <w:r>
              <w:t xml:space="preserve">  —  </w:t>
            </w:r>
            <w:r>
              <w:rPr>
                <w:sz w:val="20"/>
              </w:rPr>
              <w:t>Secret-auth edge ingestion gate → LLM structured classification {category, urgency, draft_reply, auto_safe} → conservative conjunctive auto-send gate (model self-assessment ∧ category allow-list {support,billing} ∧ operator opt-in); legal/compliance/ambiguous always held; spam skipped; everything logged to email_triage.</w:t>
            </w:r>
          </w:p>
        </w:tc>
      </w:tr>
    </w:tbl>
    <w:p>
      <w:pPr>
        <w:spacing w:after="20"/>
      </w:pPr>
    </w:p>
    <w:tbl>
      <w:tblPr>
        <w:tblW w:type="auto" w:w="0"/>
        <w:tblBorders>
          <w:top w:val="single" w:sz="6" w:space="0" w:color="E6C577"/>
          <w:left w:val="single" w:sz="6" w:space="0" w:color="E6C577"/>
          <w:bottom w:val="single" w:sz="6" w:space="0" w:color="E6C577"/>
          <w:right w:val="single" w:sz="6" w:space="0" w:color="E6C577"/>
        </w:tblBorders>
        <w:tblLook w:firstColumn="1" w:firstRow="1" w:lastColumn="0" w:lastRow="0" w:noHBand="0" w:noVBand="1" w:val="04A0"/>
      </w:tblPr>
      <w:tblGrid>
        <w:gridCol w:w="9360"/>
      </w:tblGrid>
      <w:tr>
        <w:tc>
          <w:tcPr>
            <w:tcW w:type="dxa" w:w="9360"/>
            <w:shd w:val="clear" w:fill="FFF4E0"/>
          </w:tcPr>
          <w:p>
            <w:r>
              <w:rPr>
                <w:b/>
                <w:color w:val="9A6B00"/>
                <w:sz w:val="21"/>
              </w:rPr>
              <w:t>Closest prior art / action:</w:t>
            </w:r>
            <w:r>
              <w:t xml:space="preserve">  —  </w:t>
            </w:r>
            <w:r>
              <w:rPr>
                <w:sz w:val="20"/>
              </w:rPr>
              <w:t>Salesforce Agentforce (per-agent action ALLOW-LIST + topic guardrails + human-in-loop + auto-send email), Intercom Fin (confidence/groundedness → escalate), Zendesk confidence thresholds, Google US12,282,731 (pre-send guardrail on AI draft replies). The conjunctive “confidence AND category-allow-list AND human opt-in” gate is the STANDARD 2024–26 safe-automation recipe. Do NOT file as a standalone independent claim. At most a narrow dependent of Claim 7 on the SPECIFIC encoding of platform invariants (anonymity; strict non-refundability) into the model response constraints + the secret-auth ingestion gate. Avoid “use AI to classify” language (fatal under Recentive v Fox).</w:t>
            </w:r>
          </w:p>
        </w:tc>
      </w:tr>
    </w:tbl>
    <w:p>
      <w:pPr>
        <w:spacing w:after="20"/>
      </w:pPr>
    </w:p>
    <w:p>
      <w:r>
        <w:br w:type="page"/>
      </w:r>
    </w:p>
    <w:p>
      <w:pPr>
        <w:pStyle w:val="Heading1"/>
      </w:pPr>
      <w:r>
        <w:t>5. Prior-Art Appendix (June 2026 search)</w:t>
      </w:r>
    </w:p>
    <w:p>
      <w:pPr>
        <w:spacing w:after="120"/>
      </w:pPr>
      <w:r>
        <w:rPr>
          <w:b w:val="0"/>
          <w:i w:val="0"/>
          <w:sz w:val="21"/>
        </w:rPr>
        <w:t>Primary-source-weighted. This is an internal pre-filing search against publicly observable products and patent literature; it is NOT a full professional landscape search. §7 instructs counsel to commission a paid PatBase/Derwent search before filing.</w:t>
      </w:r>
    </w:p>
    <w:tbl>
      <w:tblPr>
        <w:tblW w:type="auto" w:w="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4680"/>
        <w:gridCol w:w="4680"/>
      </w:tblGrid>
      <w:tr>
        <w:tc>
          <w:tcPr>
            <w:tcW w:type="dxa" w:w="4680"/>
            <w:shd w:val="clear" w:fill="F2F6FA"/>
            <w:tcW w:w="2300" w:type="dxa"/>
            <w:tcMar>
              <w:top w:w="40" w:type="dxa"/>
              <w:bottom w:w="40" w:type="dxa"/>
              <w:left w:w="90" w:type="dxa"/>
              <w:right w:w="90" w:type="dxa"/>
            </w:tcMar>
          </w:tcPr>
          <w:p>
            <w:r>
              <w:rPr>
                <w:b/>
                <w:color w:val="2E5A88"/>
                <w:sz w:val="17"/>
              </w:rPr>
              <w:t>Area (claim)</w:t>
            </w:r>
          </w:p>
        </w:tc>
        <w:tc>
          <w:tcPr>
            <w:tcW w:type="dxa" w:w="4680"/>
            <w:shd w:val="clear" w:fill="F2F6FA"/>
            <w:tcW w:w="7060" w:type="dxa"/>
            <w:tcMar>
              <w:top w:w="40" w:type="dxa"/>
              <w:bottom w:w="40" w:type="dxa"/>
              <w:left w:w="90" w:type="dxa"/>
              <w:right w:w="90" w:type="dxa"/>
            </w:tcMar>
          </w:tcPr>
          <w:p>
            <w:r>
              <w:rPr>
                <w:b/>
                <w:color w:val="2E5A88"/>
                <w:sz w:val="17"/>
              </w:rPr>
              <w:t>Closest references</w:t>
            </w:r>
          </w:p>
        </w:tc>
      </w:tr>
      <w:tr>
        <w:tc>
          <w:tcPr>
            <w:tcW w:type="dxa" w:w="4680"/>
            <w:tcW w:w="2300" w:type="dxa"/>
            <w:tcMar>
              <w:top w:w="40" w:type="dxa"/>
              <w:bottom w:w="40" w:type="dxa"/>
              <w:left w:w="90" w:type="dxa"/>
              <w:right w:w="90" w:type="dxa"/>
            </w:tcMar>
          </w:tcPr>
          <w:p>
            <w:r>
              <w:rPr>
                <w:sz w:val="17"/>
              </w:rPr>
              <w:t>Unified role (C1)</w:t>
            </w:r>
          </w:p>
        </w:tc>
        <w:tc>
          <w:tcPr>
            <w:tcW w:type="dxa" w:w="4680"/>
            <w:tcW w:w="7060" w:type="dxa"/>
            <w:tcMar>
              <w:top w:w="40" w:type="dxa"/>
              <w:bottom w:w="40" w:type="dxa"/>
              <w:left w:w="90" w:type="dxa"/>
              <w:right w:w="90" w:type="dxa"/>
            </w:tcMar>
          </w:tcPr>
          <w:p>
            <w:r>
              <w:rPr>
                <w:sz w:val="17"/>
              </w:rPr>
              <w:t>US7958019B2; US20070211651A1 — peer-to-peer trading, roles-based transactions (one account, many roles).</w:t>
            </w:r>
          </w:p>
        </w:tc>
      </w:tr>
      <w:tr>
        <w:tc>
          <w:tcPr>
            <w:tcW w:type="dxa" w:w="4680"/>
            <w:tcW w:w="2300" w:type="dxa"/>
            <w:tcMar>
              <w:top w:w="40" w:type="dxa"/>
              <w:bottom w:w="40" w:type="dxa"/>
              <w:left w:w="90" w:type="dxa"/>
              <w:right w:w="90" w:type="dxa"/>
            </w:tcMar>
          </w:tcPr>
          <w:p>
            <w:r>
              <w:rPr>
                <w:sz w:val="17"/>
              </w:rPr>
              <w:t>Pay-to-contact (C2)</w:t>
            </w:r>
          </w:p>
        </w:tc>
        <w:tc>
          <w:tcPr>
            <w:tcW w:type="dxa" w:w="4680"/>
            <w:tcW w:w="7060" w:type="dxa"/>
            <w:tcMar>
              <w:top w:w="40" w:type="dxa"/>
              <w:bottom w:w="40" w:type="dxa"/>
              <w:left w:w="90" w:type="dxa"/>
              <w:right w:w="90" w:type="dxa"/>
            </w:tcMar>
          </w:tcPr>
          <w:p>
            <w:r>
              <w:rPr>
                <w:sz w:val="17"/>
              </w:rPr>
              <w:t>Bark.com &amp; Thumbtack — SELLER buys credits to contact buyer (direction opposite to TrustSquare). Lead-marketplace patents: US20120030054A1 (lead auction/ping), US20160132948A1 (Servicewhale), US10,489,798 (insurance lead marketplace).</w:t>
            </w:r>
          </w:p>
        </w:tc>
      </w:tr>
      <w:tr>
        <w:tc>
          <w:tcPr>
            <w:tcW w:type="dxa" w:w="4680"/>
            <w:tcW w:w="2300" w:type="dxa"/>
            <w:tcMar>
              <w:top w:w="40" w:type="dxa"/>
              <w:bottom w:w="40" w:type="dxa"/>
              <w:left w:w="90" w:type="dxa"/>
              <w:right w:w="90" w:type="dxa"/>
            </w:tcMar>
          </w:tcPr>
          <w:p>
            <w:r>
              <w:rPr>
                <w:sz w:val="17"/>
              </w:rPr>
              <w:t>Non-refundable contact (C2)</w:t>
            </w:r>
          </w:p>
        </w:tc>
        <w:tc>
          <w:tcPr>
            <w:tcW w:type="dxa" w:w="4680"/>
            <w:tcW w:w="7060" w:type="dxa"/>
            <w:tcMar>
              <w:top w:w="40" w:type="dxa"/>
              <w:bottom w:w="40" w:type="dxa"/>
              <w:left w:w="90" w:type="dxa"/>
              <w:right w:w="90" w:type="dxa"/>
            </w:tcMar>
          </w:tcPr>
          <w:p>
            <w:r>
              <w:rPr>
                <w:sz w:val="17"/>
              </w:rPr>
              <w:t>Cost-based anti-spam: Gates 2004 email-stamp (value forfeited on disapproval), Boxbe, Yahoo CentMail, Bonded Sender. LinkedIn InMail credit is REFUNDED on response (opposite policy).</w:t>
            </w:r>
          </w:p>
        </w:tc>
      </w:tr>
      <w:tr>
        <w:tc>
          <w:tcPr>
            <w:tcW w:type="dxa" w:w="4680"/>
            <w:tcW w:w="2300" w:type="dxa"/>
            <w:tcMar>
              <w:top w:w="40" w:type="dxa"/>
              <w:bottom w:w="40" w:type="dxa"/>
              <w:left w:w="90" w:type="dxa"/>
              <w:right w:w="90" w:type="dxa"/>
            </w:tcMar>
          </w:tcPr>
          <w:p>
            <w:r>
              <w:rPr>
                <w:sz w:val="17"/>
              </w:rPr>
              <w:t>Mutual-consent reveal (C3)</w:t>
            </w:r>
          </w:p>
        </w:tc>
        <w:tc>
          <w:tcPr>
            <w:tcW w:type="dxa" w:w="4680"/>
            <w:tcW w:w="7060" w:type="dxa"/>
            <w:tcMar>
              <w:top w:w="40" w:type="dxa"/>
              <w:bottom w:w="40" w:type="dxa"/>
              <w:left w:w="90" w:type="dxa"/>
              <w:right w:w="90" w:type="dxa"/>
            </w:tcMar>
          </w:tcPr>
          <w:p>
            <w:r>
              <w:rPr>
                <w:sz w:val="17"/>
              </w:rPr>
              <w:t>US20120005033A1 (Pingsby) — bilateral simultaneous identity disclosure on mutual interest. US7203674B2; US8639607B2 (escrow-of-identity); US11023942 (anonymous marketplace).</w:t>
            </w:r>
          </w:p>
        </w:tc>
      </w:tr>
      <w:tr>
        <w:tc>
          <w:tcPr>
            <w:tcW w:type="dxa" w:w="4680"/>
            <w:tcW w:w="2300" w:type="dxa"/>
            <w:tcMar>
              <w:top w:w="40" w:type="dxa"/>
              <w:bottom w:w="40" w:type="dxa"/>
              <w:left w:w="90" w:type="dxa"/>
              <w:right w:w="90" w:type="dxa"/>
            </w:tcMar>
          </w:tcPr>
          <w:p>
            <w:r>
              <w:rPr>
                <w:sz w:val="17"/>
              </w:rPr>
              <w:t>Reputation score (C4)</w:t>
            </w:r>
          </w:p>
        </w:tc>
        <w:tc>
          <w:tcPr>
            <w:tcW w:type="dxa" w:w="4680"/>
            <w:tcW w:w="7060" w:type="dxa"/>
            <w:tcMar>
              <w:top w:w="40" w:type="dxa"/>
              <w:bottom w:w="40" w:type="dxa"/>
              <w:left w:w="90" w:type="dxa"/>
              <w:right w:w="90" w:type="dxa"/>
            </w:tcMar>
          </w:tcPr>
          <w:p>
            <w:r>
              <w:rPr>
                <w:sz w:val="17"/>
              </w:rPr>
              <w:t>eBay seller feedback (~1998); Airbnb Superhost; Uber ratings; LinkedIn SSI; Trustpilot composite.</w:t>
            </w:r>
          </w:p>
        </w:tc>
      </w:tr>
      <w:tr>
        <w:tc>
          <w:tcPr>
            <w:tcW w:type="dxa" w:w="4680"/>
            <w:tcW w:w="2300" w:type="dxa"/>
            <w:tcMar>
              <w:top w:w="40" w:type="dxa"/>
              <w:bottom w:w="40" w:type="dxa"/>
              <w:left w:w="90" w:type="dxa"/>
              <w:right w:w="90" w:type="dxa"/>
            </w:tcMar>
          </w:tcPr>
          <w:p>
            <w:r>
              <w:rPr>
                <w:sz w:val="17"/>
              </w:rPr>
              <w:t>Tier-gated geo (C5)</w:t>
            </w:r>
          </w:p>
        </w:tc>
        <w:tc>
          <w:tcPr>
            <w:tcW w:type="dxa" w:w="4680"/>
            <w:tcW w:w="7060" w:type="dxa"/>
            <w:tcMar>
              <w:top w:w="40" w:type="dxa"/>
              <w:bottom w:w="40" w:type="dxa"/>
              <w:left w:w="90" w:type="dxa"/>
              <w:right w:w="90" w:type="dxa"/>
            </w:tcMar>
          </w:tcPr>
          <w:p>
            <w:r>
              <w:rPr>
                <w:sz w:val="17"/>
              </w:rPr>
              <w:t>RadiusTheme Classified Listing; GeoDirectory; HivePress — tiered plans gate radius/region visibility.</w:t>
            </w:r>
          </w:p>
        </w:tc>
      </w:tr>
      <w:tr>
        <w:tc>
          <w:tcPr>
            <w:tcW w:type="dxa" w:w="4680"/>
            <w:tcW w:w="2300" w:type="dxa"/>
            <w:tcMar>
              <w:top w:w="40" w:type="dxa"/>
              <w:bottom w:w="40" w:type="dxa"/>
              <w:left w:w="90" w:type="dxa"/>
              <w:right w:w="90" w:type="dxa"/>
            </w:tcMar>
          </w:tcPr>
          <w:p>
            <w:r>
              <w:rPr>
                <w:sz w:val="17"/>
              </w:rPr>
              <w:t>AI auto-reply gate (C9)</w:t>
            </w:r>
          </w:p>
        </w:tc>
        <w:tc>
          <w:tcPr>
            <w:tcW w:type="dxa" w:w="4680"/>
            <w:tcW w:w="7060" w:type="dxa"/>
            <w:tcMar>
              <w:top w:w="40" w:type="dxa"/>
              <w:bottom w:w="40" w:type="dxa"/>
              <w:left w:w="90" w:type="dxa"/>
              <w:right w:w="90" w:type="dxa"/>
            </w:tcMar>
          </w:tcPr>
          <w:p>
            <w:r>
              <w:rPr>
                <w:sz w:val="17"/>
              </w:rPr>
              <w:t>Salesforce Agentforce (action allow-list + topic guardrails + human-in-loop + auto-send email); Intercom Fin; Zendesk confidence thresholds; Google US12,282,731.</w:t>
            </w:r>
          </w:p>
        </w:tc>
      </w:tr>
      <w:tr>
        <w:tc>
          <w:tcPr>
            <w:tcW w:type="dxa" w:w="4680"/>
            <w:tcW w:w="2300" w:type="dxa"/>
            <w:tcMar>
              <w:top w:w="40" w:type="dxa"/>
              <w:bottom w:w="40" w:type="dxa"/>
              <w:left w:w="90" w:type="dxa"/>
              <w:right w:w="90" w:type="dxa"/>
            </w:tcMar>
          </w:tcPr>
          <w:p>
            <w:r>
              <w:rPr>
                <w:sz w:val="17"/>
              </w:rPr>
              <w:t>Place/POI overlay (C8)</w:t>
            </w:r>
          </w:p>
        </w:tc>
        <w:tc>
          <w:tcPr>
            <w:tcW w:type="dxa" w:w="4680"/>
            <w:tcW w:w="7060" w:type="dxa"/>
            <w:tcMar>
              <w:top w:w="40" w:type="dxa"/>
              <w:bottom w:w="40" w:type="dxa"/>
              <w:left w:w="90" w:type="dxa"/>
              <w:right w:w="90" w:type="dxa"/>
            </w:tcMar>
          </w:tcPr>
          <w:p>
            <w:r>
              <w:rPr>
                <w:sz w:val="17"/>
              </w:rPr>
              <w:t>Zillow nearby-schools/POI + attendance overlays; Geoapify Places API listing enrichment; AR real-estate POI patents; UNESCO open APIs.</w:t>
            </w:r>
          </w:p>
        </w:tc>
      </w:tr>
    </w:tbl>
    <w:p>
      <w:pPr>
        <w:spacing w:after="120"/>
      </w:pPr>
      <w:r>
        <w:rPr>
          <w:b w:val="0"/>
          <w:i w:val="0"/>
          <w:sz w:val="21"/>
        </w:rPr>
      </w:r>
    </w:p>
    <w:tbl>
      <w:tblPr>
        <w:tblW w:type="auto" w:w="0"/>
        <w:tblBorders>
          <w:top w:val="single" w:sz="6" w:space="0" w:color="E6C577"/>
          <w:left w:val="single" w:sz="6" w:space="0" w:color="E6C577"/>
          <w:bottom w:val="single" w:sz="6" w:space="0" w:color="E6C577"/>
          <w:right w:val="single" w:sz="6" w:space="0" w:color="E6C577"/>
        </w:tblBorders>
        <w:tblLook w:firstColumn="1" w:firstRow="1" w:lastColumn="0" w:lastRow="0" w:noHBand="0" w:noVBand="1" w:val="04A0"/>
      </w:tblPr>
      <w:tblGrid>
        <w:gridCol w:w="9360"/>
      </w:tblGrid>
      <w:tr>
        <w:tc>
          <w:tcPr>
            <w:tcW w:type="dxa" w:w="9360"/>
            <w:shd w:val="clear" w:fill="FFF4E0"/>
          </w:tcPr>
          <w:p>
            <w:r>
              <w:rPr>
                <w:b/>
                <w:color w:val="9A6B00"/>
                <w:sz w:val="21"/>
              </w:rPr>
              <w:t>Data-integrity correction (carry into all documents):</w:t>
            </w:r>
            <w:r>
              <w:t xml:space="preserve">  —  </w:t>
            </w:r>
            <w:r>
              <w:rPr>
                <w:sz w:val="20"/>
              </w:rPr>
              <w:t>The reference US 2014/0040028 “Marketplace for Service Provider Leads” cited in earlier drafts could NOT be verified in public search under that title. Do NOT represent it as located. The lead-marketplace genus is, however, densely populated by the verified references above. Counsel to confirm the exact family via a paid search before any filing relies on it.</w:t>
            </w:r>
          </w:p>
        </w:tc>
      </w:tr>
    </w:tbl>
    <w:p>
      <w:pPr>
        <w:spacing w:after="20"/>
      </w:pPr>
    </w:p>
    <w:p>
      <w:pPr>
        <w:pStyle w:val="Heading1"/>
      </w:pPr>
      <w:r>
        <w:t>6. Recommended Claim Restructuring (before PCT)</w:t>
      </w:r>
    </w:p>
    <w:p>
      <w:pPr>
        <w:spacing w:after="120"/>
      </w:pPr>
      <w:r>
        <w:rPr>
          <w:b w:val="0"/>
          <w:i w:val="0"/>
          <w:sz w:val="21"/>
        </w:rPr>
        <w:t>The current schedule files nine co-equal independent claims; five read on well-documented prior art individually. The combination, not the parts, is where validity lives. Recommended structure for the PCT specification (the SA provisional may file the full set cheaply for priority, but should be drafted with this hierarchy in mind):</w:t>
      </w:r>
    </w:p>
    <w:p>
      <w:pPr>
        <w:pStyle w:val="ListNumber"/>
        <w:spacing w:after="60"/>
      </w:pPr>
      <w:r>
        <w:rPr>
          <w:sz w:val="21"/>
        </w:rPr>
        <w:t>Independent Claim A (lead) = Claim 7 — the integrated platform, with the inventive concept expressed as ONE non-refundable buyer-paid currency gating both human introductions and AI services, policed by the existence gate and spend register. Recite specific data structures and the external-service-invocation control, not business outcomes.</w:t>
      </w:r>
    </w:p>
    <w:p>
      <w:pPr>
        <w:pStyle w:val="ListNumber"/>
        <w:spacing w:after="60"/>
      </w:pPr>
      <w:r>
        <w:rPr>
          <w:sz w:val="21"/>
        </w:rPr>
        <w:t>Independent Claim B = Claim 2 — the Tuppence bundle (buyer-paid, fixed, pre-introduction, outcome-independent, non-refundable, paid blind), with the no-inter-user-transfer-endpoint and no-restitution-logic positive recitations (Erratum 2026-05-12).</w:t>
      </w:r>
    </w:p>
    <w:p>
      <w:pPr>
        <w:pStyle w:val="ListNumber"/>
        <w:spacing w:after="60"/>
      </w:pPr>
      <w:r>
        <w:rPr>
          <w:sz w:val="21"/>
        </w:rPr>
        <w:t>Dependent claims = Claims 1, 3 (narrowed post-Pingsby), 4, 5, 6, 8, 9 — each recited as a dependent feature with technical-implementation limitations (authorisation engine; atomic leak-free disclosure protocol; tamper-prevention subsystem; query-rewriting middleware; bounded cohort boost; place-metadata linker; secret-auth ingestion + invariant-encoding).</w:t>
      </w:r>
    </w:p>
    <w:p>
      <w:pPr>
        <w:spacing w:after="120"/>
      </w:pPr>
      <w:r>
        <w:rPr>
          <w:b w:val="0"/>
          <w:i w:val="0"/>
          <w:sz w:val="21"/>
        </w:rPr>
        <w:t>This concentrates examination effort on the two anchors, gives every weak element a fallback as a dependent claim (which still counts toward combination novelty), and removes the soft targets that invite early §101 / inventive-step rejections.</w:t>
      </w:r>
    </w:p>
    <w:p>
      <w:pPr>
        <w:pStyle w:val="Heading1"/>
      </w:pPr>
      <w:r>
        <w:t>7. Immediate Actions for Counsel</w:t>
      </w:r>
    </w:p>
    <w:p>
      <w:pPr>
        <w:pStyle w:val="ListNumber"/>
        <w:spacing w:after="60"/>
      </w:pPr>
      <w:r>
        <w:rPr>
          <w:sz w:val="21"/>
        </w:rPr>
        <w:t>Restructure per §6: Claims 7 and 2 independent; demote C1, C4, C5, C8, C9 to dependent; hold C3 pending a Pingsby claim-read.</w:t>
      </w:r>
    </w:p>
    <w:p>
      <w:pPr>
        <w:pStyle w:val="ListNumber"/>
        <w:spacing w:after="60"/>
      </w:pPr>
      <w:r>
        <w:rPr>
          <w:sz w:val="21"/>
        </w:rPr>
        <w:t>Clear Claim 3 against US20120005033A1 (Pingsby) — read its CLAIMS. Either narrow to a marketplace-specific atomic disclosure protocol with an ordering/consistency guarantee, or demote. This is the highest single anticipation risk.</w:t>
      </w:r>
    </w:p>
    <w:p>
      <w:pPr>
        <w:pStyle w:val="ListNumber"/>
        <w:spacing w:after="60"/>
      </w:pPr>
      <w:r>
        <w:rPr>
          <w:sz w:val="21"/>
        </w:rPr>
        <w:t>Draft Claim 7 to foreground the existence gate as a technical access-control/metering mechanism for external LLM invocation (US Alice step 2; EPO T1658/15). Treat currency/trust-score/tiers/boost/overlay as field-of-use context, never as the inventive concept.</w:t>
      </w:r>
    </w:p>
    <w:p>
      <w:pPr>
        <w:pStyle w:val="ListNumber"/>
        <w:spacing w:after="60"/>
      </w:pPr>
      <w:r>
        <w:rPr>
          <w:sz w:val="21"/>
        </w:rPr>
        <w:t>Construe Claim 2 with Element 2A express (buyer-paid, fixed, pre-introduction, outcome-independent, non-refundable, blind) and the no-transfer-endpoint + no-restitution-logic positive recitations. Forecloses the “merely a finder’s fee” attack.</w:t>
      </w:r>
    </w:p>
    <w:p>
      <w:pPr>
        <w:pStyle w:val="ListNumber"/>
        <w:spacing w:after="60"/>
      </w:pPr>
      <w:r>
        <w:rPr>
          <w:sz w:val="21"/>
        </w:rPr>
        <w:t>For Claim 9, do NOT file standalone. Fold into Claim 7 as a narrow dependent on the invariant-encoding + secret-auth ingestion gate. Avoid “classify with AI” language (Recentive v Fox, Fed Cir Apr 2025).</w:t>
      </w:r>
    </w:p>
    <w:p>
      <w:pPr>
        <w:pStyle w:val="ListNumber"/>
        <w:spacing w:after="60"/>
      </w:pPr>
      <w:r>
        <w:rPr>
          <w:sz w:val="21"/>
        </w:rPr>
        <w:t>Commission a paid PatBase/Derwent novelty search on: (a) the lead-marketplace family; (b) buyer-paid pre-contact non-refundable fee feeding a counterparty reputation score. Confirm/replace the unverified US 2014/0040028 reference.</w:t>
      </w:r>
    </w:p>
    <w:p>
      <w:pPr>
        <w:pStyle w:val="ListNumber"/>
        <w:spacing w:after="60"/>
      </w:pPr>
      <w:r>
        <w:rPr>
          <w:sz w:val="21"/>
        </w:rPr>
        <w:t>US framing: build a substantive technical specification — courts will NOT defer to the SA grant (GoTV v Netflix, Innovaport v Target, both Fed Cir Feb 2026). Recite steps that cannot be performed mentally (real-time API gating, atomic multi-party state transitions, metering).</w:t>
      </w:r>
    </w:p>
    <w:p>
      <w:pPr>
        <w:pStyle w:val="ListNumber"/>
        <w:spacing w:after="60"/>
      </w:pPr>
      <w:r>
        <w:rPr>
          <w:sz w:val="21"/>
        </w:rPr>
        <w:t>Confirm Banks Act NO RISK per Erratum 2026-05-12 (and SARB Draft Payment Activities Exemption Notice, 14 Nov 2025, closed-loop carve-out).</w:t>
      </w:r>
    </w:p>
    <w:p>
      <w:pPr>
        <w:pStyle w:val="ListNumber"/>
        <w:spacing w:after="60"/>
      </w:pPr>
      <w:r>
        <w:rPr>
          <w:sz w:val="21"/>
        </w:rPr>
        <w:t>NEW — address Consumer Protection Act 68 of 2008 s63 (see §8). Two product fixes are needed before public launch; both preserve strict cash non-refundability.</w:t>
      </w:r>
    </w:p>
    <w:p>
      <w:pPr>
        <w:pStyle w:val="ListNumber"/>
        <w:spacing w:after="60"/>
      </w:pPr>
      <w:r>
        <w:rPr>
          <w:sz w:val="21"/>
        </w:rPr>
        <w:t>File SA Provisional (iponline.cipc.co.za) before any public disclosure. File SA Trade Mark classes 35/36/42 same day. Advise PCT via CIPC as RO, EPO as ISA.</w:t>
      </w:r>
    </w:p>
    <w:p>
      <w:r>
        <w:br w:type="page"/>
      </w:r>
    </w:p>
    <w:p>
      <w:pPr>
        <w:pStyle w:val="Heading1"/>
      </w:pPr>
      <w:r>
        <w:t>8. Key Risk Assessment (June 2026)</w:t>
      </w:r>
    </w:p>
    <w:tbl>
      <w:tblPr>
        <w:tblW w:type="auto" w:w="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3120"/>
        <w:gridCol w:w="3120"/>
        <w:gridCol w:w="3120"/>
      </w:tblGrid>
      <w:tr>
        <w:tc>
          <w:tcPr>
            <w:tcW w:type="dxa" w:w="3120"/>
            <w:shd w:val="clear" w:fill="F2F6FA"/>
            <w:tcW w:w="1500" w:type="dxa"/>
            <w:tcMar>
              <w:top w:w="40" w:type="dxa"/>
              <w:bottom w:w="40" w:type="dxa"/>
              <w:left w:w="90" w:type="dxa"/>
              <w:right w:w="90" w:type="dxa"/>
            </w:tcMar>
          </w:tcPr>
          <w:p>
            <w:r>
              <w:rPr>
                <w:b/>
                <w:color w:val="2E5A88"/>
                <w:sz w:val="17"/>
              </w:rPr>
              <w:t>Area</w:t>
            </w:r>
          </w:p>
        </w:tc>
        <w:tc>
          <w:tcPr>
            <w:tcW w:type="dxa" w:w="3120"/>
            <w:shd w:val="clear" w:fill="F2F6FA"/>
            <w:tcW w:w="1300" w:type="dxa"/>
            <w:tcMar>
              <w:top w:w="40" w:type="dxa"/>
              <w:bottom w:w="40" w:type="dxa"/>
              <w:left w:w="90" w:type="dxa"/>
              <w:right w:w="90" w:type="dxa"/>
            </w:tcMar>
          </w:tcPr>
          <w:p>
            <w:r>
              <w:rPr>
                <w:b/>
                <w:color w:val="2E5A88"/>
                <w:sz w:val="17"/>
              </w:rPr>
              <w:t>Risk</w:t>
            </w:r>
          </w:p>
        </w:tc>
        <w:tc>
          <w:tcPr>
            <w:tcW w:type="dxa" w:w="3120"/>
            <w:shd w:val="clear" w:fill="F2F6FA"/>
            <w:tcW w:w="6560" w:type="dxa"/>
            <w:tcMar>
              <w:top w:w="40" w:type="dxa"/>
              <w:bottom w:w="40" w:type="dxa"/>
              <w:left w:w="90" w:type="dxa"/>
              <w:right w:w="90" w:type="dxa"/>
            </w:tcMar>
          </w:tcPr>
          <w:p>
            <w:r>
              <w:rPr>
                <w:b/>
                <w:color w:val="2E5A88"/>
                <w:sz w:val="17"/>
              </w:rPr>
              <w:t>Notes</w:t>
            </w:r>
          </w:p>
        </w:tc>
      </w:tr>
      <w:tr>
        <w:tc>
          <w:tcPr>
            <w:tcW w:type="dxa" w:w="3120"/>
            <w:tcW w:w="1500" w:type="dxa"/>
            <w:tcMar>
              <w:top w:w="40" w:type="dxa"/>
              <w:bottom w:w="40" w:type="dxa"/>
              <w:left w:w="90" w:type="dxa"/>
              <w:right w:w="90" w:type="dxa"/>
            </w:tcMar>
          </w:tcPr>
          <w:p>
            <w:r>
              <w:rPr>
                <w:sz w:val="17"/>
              </w:rPr>
              <w:t>Banks Act 94/1990</w:t>
            </w:r>
          </w:p>
        </w:tc>
        <w:tc>
          <w:tcPr>
            <w:tcW w:type="dxa" w:w="3120"/>
            <w:tcW w:w="1300" w:type="dxa"/>
            <w:tcMar>
              <w:top w:w="40" w:type="dxa"/>
              <w:bottom w:w="40" w:type="dxa"/>
              <w:left w:w="90" w:type="dxa"/>
              <w:right w:w="90" w:type="dxa"/>
            </w:tcMar>
          </w:tcPr>
          <w:p>
            <w:r>
              <w:rPr>
                <w:b/>
                <w:color w:val="3B7A57"/>
                <w:sz w:val="17"/>
              </w:rPr>
              <w:t>NO RISK</w:t>
            </w:r>
          </w:p>
        </w:tc>
        <w:tc>
          <w:tcPr>
            <w:tcW w:type="dxa" w:w="3120"/>
            <w:tcW w:w="6560" w:type="dxa"/>
            <w:tcMar>
              <w:top w:w="40" w:type="dxa"/>
              <w:bottom w:w="40" w:type="dxa"/>
              <w:left w:w="90" w:type="dxa"/>
              <w:right w:w="90" w:type="dxa"/>
            </w:tcMar>
          </w:tcPr>
          <w:p>
            <w:r>
              <w:rPr>
                <w:sz w:val="17"/>
              </w:rPr>
              <w:t>Tuppence non-refundable under any circumstance → no repayment → “deposit” not engaged. SARB Draft Payment Activities Exemption Notice (14 Nov 2025) closed-loop carve-out maps cleanly. Strict no-refund is regulatorily load-bearing — preserve it.</w:t>
            </w:r>
          </w:p>
        </w:tc>
      </w:tr>
      <w:tr>
        <w:tc>
          <w:tcPr>
            <w:tcW w:type="dxa" w:w="3120"/>
            <w:tcW w:w="1500" w:type="dxa"/>
            <w:tcMar>
              <w:top w:w="40" w:type="dxa"/>
              <w:bottom w:w="40" w:type="dxa"/>
              <w:left w:w="90" w:type="dxa"/>
              <w:right w:w="90" w:type="dxa"/>
            </w:tcMar>
          </w:tcPr>
          <w:p>
            <w:r>
              <w:rPr>
                <w:sz w:val="17"/>
              </w:rPr>
              <w:t>CPA 68/2008 s63</w:t>
            </w:r>
          </w:p>
        </w:tc>
        <w:tc>
          <w:tcPr>
            <w:tcW w:type="dxa" w:w="3120"/>
            <w:tcW w:w="1300" w:type="dxa"/>
            <w:tcMar>
              <w:top w:w="40" w:type="dxa"/>
              <w:bottom w:w="40" w:type="dxa"/>
              <w:left w:w="90" w:type="dxa"/>
              <w:right w:w="90" w:type="dxa"/>
            </w:tcMar>
          </w:tcPr>
          <w:p>
            <w:r>
              <w:rPr>
                <w:b/>
                <w:color w:val="B03A3A"/>
                <w:sz w:val="17"/>
              </w:rPr>
              <w:t>MODERATE-HIGH</w:t>
            </w:r>
          </w:p>
        </w:tc>
        <w:tc>
          <w:tcPr>
            <w:tcW w:type="dxa" w:w="3120"/>
            <w:tcW w:w="6560" w:type="dxa"/>
            <w:tcMar>
              <w:top w:w="40" w:type="dxa"/>
              <w:bottom w:w="40" w:type="dxa"/>
              <w:left w:w="90" w:type="dxa"/>
              <w:right w:w="90" w:type="dxa"/>
            </w:tcMar>
          </w:tcPr>
          <w:p>
            <w:r>
              <w:rPr>
                <w:sz w:val="17"/>
              </w:rPr>
              <w:t>NEW. Prepaid-credit rules: 3-year minimum validity + anti-forfeiture (s48/s51). Conflicts: (a) 24-month dormancy forfeiture of unspent float &lt; 3-yr floor; (b) buyer-gets-nothing on seller decline. Both curable WITHOUT a cash refund — see §8.1.</w:t>
            </w:r>
          </w:p>
        </w:tc>
      </w:tr>
      <w:tr>
        <w:tc>
          <w:tcPr>
            <w:tcW w:type="dxa" w:w="3120"/>
            <w:tcW w:w="1500" w:type="dxa"/>
            <w:tcMar>
              <w:top w:w="40" w:type="dxa"/>
              <w:bottom w:w="40" w:type="dxa"/>
              <w:left w:w="90" w:type="dxa"/>
              <w:right w:w="90" w:type="dxa"/>
            </w:tcMar>
          </w:tcPr>
          <w:p>
            <w:r>
              <w:rPr>
                <w:sz w:val="17"/>
              </w:rPr>
              <w:t>NPS Act 78/1998</w:t>
            </w:r>
          </w:p>
        </w:tc>
        <w:tc>
          <w:tcPr>
            <w:tcW w:type="dxa" w:w="3120"/>
            <w:tcW w:w="1300" w:type="dxa"/>
            <w:tcMar>
              <w:top w:w="40" w:type="dxa"/>
              <w:bottom w:w="40" w:type="dxa"/>
              <w:left w:w="90" w:type="dxa"/>
              <w:right w:w="90" w:type="dxa"/>
            </w:tcMar>
          </w:tcPr>
          <w:p>
            <w:r>
              <w:rPr>
                <w:b/>
                <w:color w:val="9A6B00"/>
                <w:sz w:val="17"/>
              </w:rPr>
              <w:t>LOW</w:t>
            </w:r>
          </w:p>
        </w:tc>
        <w:tc>
          <w:tcPr>
            <w:tcW w:type="dxa" w:w="3120"/>
            <w:tcW w:w="6560" w:type="dxa"/>
            <w:tcMar>
              <w:top w:w="40" w:type="dxa"/>
              <w:bottom w:w="40" w:type="dxa"/>
              <w:left w:w="90" w:type="dxa"/>
              <w:right w:w="90" w:type="dxa"/>
            </w:tcMar>
          </w:tcPr>
          <w:p>
            <w:r>
              <w:rPr>
                <w:sz w:val="17"/>
              </w:rPr>
              <w:t>Closed-loop, single-issuer, non-cash → outside NPS perimeter. Watch: SARB draft framework may require light-touch REGISTRATION (not a licence) of closed-loop schemes; NPS Bill pending.</w:t>
            </w:r>
          </w:p>
        </w:tc>
      </w:tr>
      <w:tr>
        <w:tc>
          <w:tcPr>
            <w:tcW w:type="dxa" w:w="3120"/>
            <w:tcW w:w="1500" w:type="dxa"/>
            <w:tcMar>
              <w:top w:w="40" w:type="dxa"/>
              <w:bottom w:w="40" w:type="dxa"/>
              <w:left w:w="90" w:type="dxa"/>
              <w:right w:w="90" w:type="dxa"/>
            </w:tcMar>
          </w:tcPr>
          <w:p>
            <w:r>
              <w:rPr>
                <w:sz w:val="17"/>
              </w:rPr>
              <w:t>FSCA crypto / FAIS</w:t>
            </w:r>
          </w:p>
        </w:tc>
        <w:tc>
          <w:tcPr>
            <w:tcW w:type="dxa" w:w="3120"/>
            <w:tcW w:w="1300" w:type="dxa"/>
            <w:tcMar>
              <w:top w:w="40" w:type="dxa"/>
              <w:bottom w:w="40" w:type="dxa"/>
              <w:left w:w="90" w:type="dxa"/>
              <w:right w:w="90" w:type="dxa"/>
            </w:tcMar>
          </w:tcPr>
          <w:p>
            <w:r>
              <w:rPr>
                <w:b/>
                <w:color w:val="3B7A57"/>
                <w:sz w:val="17"/>
              </w:rPr>
              <w:t>NO RISK</w:t>
            </w:r>
          </w:p>
        </w:tc>
        <w:tc>
          <w:tcPr>
            <w:tcW w:type="dxa" w:w="3120"/>
            <w:tcW w:w="6560" w:type="dxa"/>
            <w:tcMar>
              <w:top w:w="40" w:type="dxa"/>
              <w:bottom w:w="40" w:type="dxa"/>
              <w:left w:w="90" w:type="dxa"/>
              <w:right w:w="90" w:type="dxa"/>
            </w:tcMar>
          </w:tcPr>
          <w:p>
            <w:r>
              <w:rPr>
                <w:sz w:val="17"/>
              </w:rPr>
              <w:t>GN 1350/2022 (GG 47334, 19 Oct 2022) crypto-asset test is conjunctive (DLT ∧ cryptographic ∧ tradeable). Tuppence fails all three (centralised, non-DLT, non-transferable). COFI Bill (Cabinet-approved Mar/Apr 2026): monitor only.</w:t>
            </w:r>
          </w:p>
        </w:tc>
      </w:tr>
      <w:tr>
        <w:tc>
          <w:tcPr>
            <w:tcW w:type="dxa" w:w="3120"/>
            <w:tcW w:w="1500" w:type="dxa"/>
            <w:tcMar>
              <w:top w:w="40" w:type="dxa"/>
              <w:bottom w:w="40" w:type="dxa"/>
              <w:left w:w="90" w:type="dxa"/>
              <w:right w:w="90" w:type="dxa"/>
            </w:tcMar>
          </w:tcPr>
          <w:p>
            <w:r>
              <w:rPr>
                <w:sz w:val="17"/>
              </w:rPr>
              <w:t>SA s25(2)/(3)</w:t>
            </w:r>
          </w:p>
        </w:tc>
        <w:tc>
          <w:tcPr>
            <w:tcW w:type="dxa" w:w="3120"/>
            <w:tcW w:w="1300" w:type="dxa"/>
            <w:tcMar>
              <w:top w:w="40" w:type="dxa"/>
              <w:bottom w:w="40" w:type="dxa"/>
              <w:left w:w="90" w:type="dxa"/>
              <w:right w:w="90" w:type="dxa"/>
            </w:tcMar>
          </w:tcPr>
          <w:p>
            <w:r>
              <w:rPr>
                <w:b/>
                <w:color w:val="9A6B00"/>
                <w:sz w:val="17"/>
              </w:rPr>
              <w:t>MODERATE</w:t>
            </w:r>
          </w:p>
        </w:tc>
        <w:tc>
          <w:tcPr>
            <w:tcW w:type="dxa" w:w="3120"/>
            <w:tcW w:w="6560" w:type="dxa"/>
            <w:tcMar>
              <w:top w:w="40" w:type="dxa"/>
              <w:bottom w:w="40" w:type="dxa"/>
              <w:left w:w="90" w:type="dxa"/>
              <w:right w:w="90" w:type="dxa"/>
            </w:tcMar>
          </w:tcPr>
          <w:p>
            <w:r>
              <w:rPr>
                <w:sz w:val="17"/>
              </w:rPr>
              <w:t>Non-examining depository — easy grant, hollow right. No SA case law on the computer-program exclusion; a court would borrow UK Aerotel + AT&amp;T signposts + EPO. Business-method heart vulnerable; technical framings (existence gate, disclosure protocol) survive.</w:t>
            </w:r>
          </w:p>
        </w:tc>
      </w:tr>
      <w:tr>
        <w:tc>
          <w:tcPr>
            <w:tcW w:type="dxa" w:w="3120"/>
            <w:tcW w:w="1500" w:type="dxa"/>
            <w:tcMar>
              <w:top w:w="40" w:type="dxa"/>
              <w:bottom w:w="40" w:type="dxa"/>
              <w:left w:w="90" w:type="dxa"/>
              <w:right w:w="90" w:type="dxa"/>
            </w:tcMar>
          </w:tcPr>
          <w:p>
            <w:r>
              <w:rPr>
                <w:sz w:val="17"/>
              </w:rPr>
              <w:t>USPTO §101 / Alice</w:t>
            </w:r>
          </w:p>
        </w:tc>
        <w:tc>
          <w:tcPr>
            <w:tcW w:type="dxa" w:w="3120"/>
            <w:tcW w:w="1300" w:type="dxa"/>
            <w:tcMar>
              <w:top w:w="40" w:type="dxa"/>
              <w:bottom w:w="40" w:type="dxa"/>
              <w:left w:w="90" w:type="dxa"/>
              <w:right w:w="90" w:type="dxa"/>
            </w:tcMar>
          </w:tcPr>
          <w:p>
            <w:r>
              <w:rPr>
                <w:b/>
                <w:color w:val="9A6B00"/>
                <w:sz w:val="17"/>
              </w:rPr>
              <w:t>MODERATE</w:t>
            </w:r>
          </w:p>
        </w:tc>
        <w:tc>
          <w:tcPr>
            <w:tcW w:type="dxa" w:w="3120"/>
            <w:tcW w:w="6560" w:type="dxa"/>
            <w:tcMar>
              <w:top w:w="40" w:type="dxa"/>
              <w:bottom w:w="40" w:type="dxa"/>
              <w:left w:w="90" w:type="dxa"/>
              <w:right w:w="90" w:type="dxa"/>
            </w:tcMar>
          </w:tcPr>
          <w:p>
            <w:r>
              <w:rPr>
                <w:sz w:val="17"/>
              </w:rPr>
              <w:t>Currency/score/tiers/boost/overlay are abstract; technical-implementation framings survive step 2. July-2024 §101 AI guidance (Examples 47-49) STILL in force; Nov-2025 rescission was of AI-INVENTORSHIP guidance only. Recentive (Apr 2025) is adverse to “classify with AI”. PERA not law.</w:t>
            </w:r>
          </w:p>
        </w:tc>
      </w:tr>
      <w:tr>
        <w:tc>
          <w:tcPr>
            <w:tcW w:type="dxa" w:w="3120"/>
            <w:tcW w:w="1500" w:type="dxa"/>
            <w:tcMar>
              <w:top w:w="40" w:type="dxa"/>
              <w:bottom w:w="40" w:type="dxa"/>
              <w:left w:w="90" w:type="dxa"/>
              <w:right w:w="90" w:type="dxa"/>
            </w:tcMar>
          </w:tcPr>
          <w:p>
            <w:r>
              <w:rPr>
                <w:sz w:val="17"/>
              </w:rPr>
              <w:t>EPO COMVIK</w:t>
            </w:r>
          </w:p>
        </w:tc>
        <w:tc>
          <w:tcPr>
            <w:tcW w:type="dxa" w:w="3120"/>
            <w:tcW w:w="1300" w:type="dxa"/>
            <w:tcMar>
              <w:top w:w="40" w:type="dxa"/>
              <w:bottom w:w="40" w:type="dxa"/>
              <w:left w:w="90" w:type="dxa"/>
              <w:right w:w="90" w:type="dxa"/>
            </w:tcMar>
          </w:tcPr>
          <w:p>
            <w:r>
              <w:rPr>
                <w:b/>
                <w:color w:val="9A6B00"/>
                <w:sz w:val="17"/>
              </w:rPr>
              <w:t>MODERATE</w:t>
            </w:r>
          </w:p>
        </w:tc>
        <w:tc>
          <w:tcPr>
            <w:tcW w:type="dxa" w:w="3120"/>
            <w:tcW w:w="6560" w:type="dxa"/>
            <w:tcMar>
              <w:top w:w="40" w:type="dxa"/>
              <w:bottom w:w="40" w:type="dxa"/>
              <w:left w:w="90" w:type="dxa"/>
              <w:right w:w="90" w:type="dxa"/>
            </w:tcMar>
          </w:tcPr>
          <w:p>
            <w:r>
              <w:rPr>
                <w:sz w:val="17"/>
              </w:rPr>
              <w:t>Business elements handed to the notional business person (T1463/11) and disregarded; G1/19 — technical-sounding model basis isn’t technical. Inventive step must live in the existence gate / disclosure protocol / specific data structures.</w:t>
            </w:r>
          </w:p>
        </w:tc>
      </w:tr>
      <w:tr>
        <w:tc>
          <w:tcPr>
            <w:tcW w:type="dxa" w:w="3120"/>
            <w:tcW w:w="1500" w:type="dxa"/>
            <w:tcMar>
              <w:top w:w="40" w:type="dxa"/>
              <w:bottom w:w="40" w:type="dxa"/>
              <w:left w:w="90" w:type="dxa"/>
              <w:right w:w="90" w:type="dxa"/>
            </w:tcMar>
          </w:tcPr>
          <w:p>
            <w:r>
              <w:rPr>
                <w:sz w:val="17"/>
              </w:rPr>
              <w:t>FAIS</w:t>
            </w:r>
          </w:p>
        </w:tc>
        <w:tc>
          <w:tcPr>
            <w:tcW w:type="dxa" w:w="3120"/>
            <w:tcW w:w="1300" w:type="dxa"/>
            <w:tcMar>
              <w:top w:w="40" w:type="dxa"/>
              <w:bottom w:w="40" w:type="dxa"/>
              <w:left w:w="90" w:type="dxa"/>
              <w:right w:w="90" w:type="dxa"/>
            </w:tcMar>
          </w:tcPr>
          <w:p>
            <w:r>
              <w:rPr>
                <w:b/>
                <w:color w:val="3B7A57"/>
                <w:sz w:val="17"/>
              </w:rPr>
              <w:t>NO RISK</w:t>
            </w:r>
          </w:p>
        </w:tc>
        <w:tc>
          <w:tcPr>
            <w:tcW w:type="dxa" w:w="3120"/>
            <w:tcW w:w="6560" w:type="dxa"/>
            <w:tcMar>
              <w:top w:w="40" w:type="dxa"/>
              <w:bottom w:w="40" w:type="dxa"/>
              <w:left w:w="90" w:type="dxa"/>
              <w:right w:w="90" w:type="dxa"/>
            </w:tcMar>
          </w:tcPr>
          <w:p>
            <w:r>
              <w:rPr>
                <w:sz w:val="17"/>
              </w:rPr>
              <w:t>Introduction intermediary only; no advice, no transaction conclusion, no client funds beyond closed-loop credit.</w:t>
            </w:r>
          </w:p>
        </w:tc>
      </w:tr>
      <w:tr>
        <w:tc>
          <w:tcPr>
            <w:tcW w:type="dxa" w:w="3120"/>
            <w:tcW w:w="1500" w:type="dxa"/>
            <w:tcMar>
              <w:top w:w="40" w:type="dxa"/>
              <w:bottom w:w="40" w:type="dxa"/>
              <w:left w:w="90" w:type="dxa"/>
              <w:right w:w="90" w:type="dxa"/>
            </w:tcMar>
          </w:tcPr>
          <w:p>
            <w:r>
              <w:rPr>
                <w:sz w:val="17"/>
              </w:rPr>
              <w:t>POPIA</w:t>
            </w:r>
          </w:p>
        </w:tc>
        <w:tc>
          <w:tcPr>
            <w:tcW w:type="dxa" w:w="3120"/>
            <w:tcW w:w="1300" w:type="dxa"/>
            <w:tcMar>
              <w:top w:w="40" w:type="dxa"/>
              <w:bottom w:w="40" w:type="dxa"/>
              <w:left w:w="90" w:type="dxa"/>
              <w:right w:w="90" w:type="dxa"/>
            </w:tcMar>
          </w:tcPr>
          <w:p>
            <w:r>
              <w:rPr>
                <w:b/>
                <w:color w:val="9A6B00"/>
                <w:sz w:val="17"/>
              </w:rPr>
              <w:t>LOW</w:t>
            </w:r>
          </w:p>
        </w:tc>
        <w:tc>
          <w:tcPr>
            <w:tcW w:type="dxa" w:w="3120"/>
            <w:tcW w:w="6560" w:type="dxa"/>
            <w:tcMar>
              <w:top w:w="40" w:type="dxa"/>
              <w:bottom w:w="40" w:type="dxa"/>
              <w:left w:w="90" w:type="dxa"/>
              <w:right w:w="90" w:type="dxa"/>
            </w:tcMar>
          </w:tcPr>
          <w:p>
            <w:r>
              <w:rPr>
                <w:sz w:val="17"/>
              </w:rPr>
              <w:t>Use legitimate-interest / contract basis (s11(1)(b)/(f)), NOT consent. s10 minimality + s26 special-category filtering + retention TTL on the 500-char email_triage body_preview. Keep onboarding mail transactional (s69).</w:t>
            </w:r>
          </w:p>
        </w:tc>
      </w:tr>
    </w:tbl>
    <w:p>
      <w:pPr>
        <w:spacing w:after="120"/>
      </w:pPr>
      <w:r>
        <w:rPr>
          <w:b w:val="0"/>
          <w:i w:val="0"/>
          <w:sz w:val="21"/>
        </w:rPr>
      </w:r>
    </w:p>
    <w:p>
      <w:pPr>
        <w:pStyle w:val="Heading2"/>
      </w:pPr>
      <w:r>
        <w:t>8.1 CPA s63 — reconciling with the no-refunds rule</w:t>
      </w:r>
    </w:p>
    <w:p>
      <w:pPr>
        <w:spacing w:after="120"/>
      </w:pPr>
      <w:r>
        <w:rPr>
          <w:b w:val="0"/>
          <w:i w:val="0"/>
          <w:sz w:val="21"/>
        </w:rPr>
        <w:t>Strict cash non-refundability is load-bearing for the commitment signal, the Banks Act position, and Claim 2 novelty, and must be preserved. The CPA tension is NOT about cash refunds; it is about (a) time-based forfeiture of UNSPENT float and (b) the buyer receiving nothing on decline. Both are curable without any cash refund:</w:t>
      </w:r>
    </w:p>
    <w:p>
      <w:pPr>
        <w:pStyle w:val="ListBullet"/>
        <w:spacing w:after="60"/>
      </w:pPr>
      <w:r>
        <w:rPr>
          <w:sz w:val="21"/>
        </w:rPr>
        <w:t>Frame the burn as payment for the matching/introduction SERVICE RENDERED AT THE MOMENT OF REQUEST — the request is delivered to and considered by the seller; a decline is an outcome, not non-delivery. Disclose this in plain language (CPA disclosure rules). This simultaneously defends Claim 2 novelty.</w:t>
      </w:r>
    </w:p>
    <w:p>
      <w:pPr>
        <w:pStyle w:val="ListBullet"/>
        <w:spacing w:after="60"/>
      </w:pPr>
      <w:r>
        <w:rPr>
          <w:sz w:val="21"/>
        </w:rPr>
        <w:t>Extend dormancy expiry on the UNREDEEMED float to ≥ 36 months (or remove float expiry). This touches only unspent Tuppence, never the no-refund-on-burn rule — a clean, costless fix.</w:t>
      </w:r>
    </w:p>
    <w:tbl>
      <w:tblPr>
        <w:tblW w:type="auto" w:w="0"/>
        <w:tblBorders>
          <w:top w:val="single" w:sz="6" w:space="0" w:color="E6C577"/>
          <w:left w:val="single" w:sz="6" w:space="0" w:color="E6C577"/>
          <w:bottom w:val="single" w:sz="6" w:space="0" w:color="E6C577"/>
          <w:right w:val="single" w:sz="6" w:space="0" w:color="E6C577"/>
        </w:tblBorders>
        <w:tblLook w:firstColumn="1" w:firstRow="1" w:lastColumn="0" w:lastRow="0" w:noHBand="0" w:noVBand="1" w:val="04A0"/>
      </w:tblPr>
      <w:tblGrid>
        <w:gridCol w:w="9360"/>
      </w:tblGrid>
      <w:tr>
        <w:tc>
          <w:tcPr>
            <w:tcW w:type="dxa" w:w="9360"/>
            <w:shd w:val="clear" w:fill="FFF4E0"/>
          </w:tcPr>
          <w:p>
            <w:r>
              <w:rPr>
                <w:b/>
                <w:color w:val="9A6B00"/>
                <w:sz w:val="21"/>
              </w:rPr>
              <w:t>Counsel’s call, recommended AGAINST:</w:t>
            </w:r>
            <w:r>
              <w:t xml:space="preserve">  —  </w:t>
            </w:r>
            <w:r>
              <w:rPr>
                <w:sz w:val="20"/>
              </w:rPr>
              <w:t>The research’s alternative cure — internal re-credit of Tuppence on decline — conflicts with the Erratum’s amended-Claim-2 positive recitation that NO restitution logic exists (load-bearing for C2 novelty and the Banks Act). The two cures above achieve CPA comfort without any re-credit; prefer them.</w:t>
            </w:r>
          </w:p>
        </w:tc>
      </w:tr>
    </w:tbl>
    <w:p>
      <w:pPr>
        <w:spacing w:after="20"/>
      </w:pPr>
    </w:p>
    <w:p>
      <w:pPr>
        <w:pStyle w:val="Heading1"/>
      </w:pPr>
      <w:r>
        <w:t>Version History</w:t>
      </w:r>
    </w:p>
    <w:tbl>
      <w:tblPr>
        <w:tblW w:type="auto" w:w="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4680"/>
        <w:gridCol w:w="4680"/>
      </w:tblGrid>
      <w:tr>
        <w:tc>
          <w:tcPr>
            <w:tcW w:type="dxa" w:w="4680"/>
            <w:shd w:val="clear" w:fill="F2F6FA"/>
            <w:tcW w:w="1500" w:type="dxa"/>
            <w:tcMar>
              <w:top w:w="40" w:type="dxa"/>
              <w:bottom w:w="40" w:type="dxa"/>
              <w:left w:w="90" w:type="dxa"/>
              <w:right w:w="90" w:type="dxa"/>
            </w:tcMar>
          </w:tcPr>
          <w:p>
            <w:r>
              <w:rPr>
                <w:b/>
                <w:color w:val="2E5A88"/>
                <w:sz w:val="18"/>
              </w:rPr>
              <w:t>Version</w:t>
            </w:r>
          </w:p>
        </w:tc>
        <w:tc>
          <w:tcPr>
            <w:tcW w:type="dxa" w:w="4680"/>
            <w:shd w:val="clear" w:fill="F2F6FA"/>
            <w:tcW w:w="7860" w:type="dxa"/>
            <w:tcMar>
              <w:top w:w="40" w:type="dxa"/>
              <w:bottom w:w="40" w:type="dxa"/>
              <w:left w:w="90" w:type="dxa"/>
              <w:right w:w="90" w:type="dxa"/>
            </w:tcMar>
          </w:tcPr>
          <w:p>
            <w:r>
              <w:rPr>
                <w:b/>
                <w:color w:val="2E5A88"/>
                <w:sz w:val="18"/>
              </w:rPr>
              <w:t>Change</w:t>
            </w:r>
          </w:p>
        </w:tc>
      </w:tr>
      <w:tr>
        <w:tc>
          <w:tcPr>
            <w:tcW w:type="dxa" w:w="4680"/>
            <w:tcW w:w="1500" w:type="dxa"/>
            <w:tcMar>
              <w:top w:w="40" w:type="dxa"/>
              <w:bottom w:w="40" w:type="dxa"/>
              <w:left w:w="90" w:type="dxa"/>
              <w:right w:w="90" w:type="dxa"/>
            </w:tcMar>
          </w:tcPr>
          <w:p>
            <w:r>
              <w:rPr>
                <w:sz w:val="18"/>
              </w:rPr>
              <w:t>v1 (Apr 2026)</w:t>
            </w:r>
          </w:p>
        </w:tc>
        <w:tc>
          <w:tcPr>
            <w:tcW w:type="dxa" w:w="4680"/>
            <w:tcW w:w="7860" w:type="dxa"/>
            <w:tcMar>
              <w:top w:w="40" w:type="dxa"/>
              <w:bottom w:w="40" w:type="dxa"/>
              <w:left w:w="90" w:type="dxa"/>
              <w:right w:w="90" w:type="dxa"/>
            </w:tcMar>
          </w:tcPr>
          <w:p>
            <w:r>
              <w:rPr>
                <w:sz w:val="18"/>
              </w:rPr>
              <w:t>Initial 7-claim draft.</w:t>
            </w:r>
          </w:p>
        </w:tc>
      </w:tr>
      <w:tr>
        <w:tc>
          <w:tcPr>
            <w:tcW w:type="dxa" w:w="4680"/>
            <w:tcW w:w="1500" w:type="dxa"/>
            <w:tcMar>
              <w:top w:w="40" w:type="dxa"/>
              <w:bottom w:w="40" w:type="dxa"/>
              <w:left w:w="90" w:type="dxa"/>
              <w:right w:w="90" w:type="dxa"/>
            </w:tcMar>
          </w:tcPr>
          <w:p>
            <w:r>
              <w:rPr>
                <w:sz w:val="18"/>
              </w:rPr>
              <w:t>v2 (May 2026)</w:t>
            </w:r>
          </w:p>
        </w:tc>
        <w:tc>
          <w:tcPr>
            <w:tcW w:type="dxa" w:w="4680"/>
            <w:tcW w:w="7860" w:type="dxa"/>
            <w:tcMar>
              <w:top w:w="40" w:type="dxa"/>
              <w:bottom w:w="40" w:type="dxa"/>
              <w:left w:w="90" w:type="dxa"/>
              <w:right w:w="90" w:type="dxa"/>
            </w:tcMar>
          </w:tcPr>
          <w:p>
            <w:r>
              <w:rPr>
                <w:sz w:val="18"/>
              </w:rPr>
              <w:t>Claim 8 Heritage; dependent self-funding filter; ultra-high-value bank hold.</w:t>
            </w:r>
          </w:p>
        </w:tc>
      </w:tr>
      <w:tr>
        <w:tc>
          <w:tcPr>
            <w:tcW w:type="dxa" w:w="4680"/>
            <w:tcW w:w="1500" w:type="dxa"/>
            <w:tcMar>
              <w:top w:w="40" w:type="dxa"/>
              <w:bottom w:w="40" w:type="dxa"/>
              <w:left w:w="90" w:type="dxa"/>
              <w:right w:w="90" w:type="dxa"/>
            </w:tcMar>
          </w:tcPr>
          <w:p>
            <w:r>
              <w:rPr>
                <w:sz w:val="18"/>
              </w:rPr>
              <w:t>v3 (May 2026)</w:t>
            </w:r>
          </w:p>
        </w:tc>
        <w:tc>
          <w:tcPr>
            <w:tcW w:type="dxa" w:w="4680"/>
            <w:tcW w:w="7860" w:type="dxa"/>
            <w:tcMar>
              <w:top w:w="40" w:type="dxa"/>
              <w:bottom w:w="40" w:type="dxa"/>
              <w:left w:w="90" w:type="dxa"/>
              <w:right w:w="90" w:type="dxa"/>
            </w:tcMar>
          </w:tcPr>
          <w:p>
            <w:r>
              <w:rPr>
                <w:sz w:val="18"/>
              </w:rPr>
              <w:t>5-tier subscriptions + slot enforcement; AI Services layer; AI Guardrail Architecture — folded into Claim 7.</w:t>
            </w:r>
          </w:p>
        </w:tc>
      </w:tr>
      <w:tr>
        <w:tc>
          <w:tcPr>
            <w:tcW w:type="dxa" w:w="4680"/>
            <w:tcW w:w="1500" w:type="dxa"/>
            <w:tcMar>
              <w:top w:w="40" w:type="dxa"/>
              <w:bottom w:w="40" w:type="dxa"/>
              <w:left w:w="90" w:type="dxa"/>
              <w:right w:w="90" w:type="dxa"/>
            </w:tcMar>
          </w:tcPr>
          <w:p>
            <w:r>
              <w:rPr>
                <w:sz w:val="18"/>
              </w:rPr>
              <w:t>v4 (May 2026)</w:t>
            </w:r>
          </w:p>
        </w:tc>
        <w:tc>
          <w:tcPr>
            <w:tcW w:type="dxa" w:w="4680"/>
            <w:tcW w:w="7860" w:type="dxa"/>
            <w:tcMar>
              <w:top w:w="40" w:type="dxa"/>
              <w:bottom w:w="40" w:type="dxa"/>
              <w:left w:w="90" w:type="dxa"/>
              <w:right w:w="90" w:type="dxa"/>
            </w:tcMar>
          </w:tcPr>
          <w:p>
            <w:r>
              <w:rPr>
                <w:sz w:val="18"/>
              </w:rPr>
              <w:t>Claim 9 (AI email triage) added; Claim Element 2A (referral/commission distinction); Claim 8 reframed as method-not-catalogue. BEA v1.3.4.</w:t>
            </w:r>
          </w:p>
        </w:tc>
      </w:tr>
      <w:tr>
        <w:tc>
          <w:tcPr>
            <w:tcW w:type="dxa" w:w="4680"/>
            <w:tcW w:w="1500" w:type="dxa"/>
            <w:tcMar>
              <w:top w:w="40" w:type="dxa"/>
              <w:bottom w:w="40" w:type="dxa"/>
              <w:left w:w="90" w:type="dxa"/>
              <w:right w:w="90" w:type="dxa"/>
            </w:tcMar>
          </w:tcPr>
          <w:p>
            <w:r>
              <w:rPr>
                <w:sz w:val="18"/>
              </w:rPr>
              <w:t>v5 (Jun 2026)</w:t>
            </w:r>
          </w:p>
        </w:tc>
        <w:tc>
          <w:tcPr>
            <w:tcW w:type="dxa" w:w="4680"/>
            <w:tcW w:w="7860" w:type="dxa"/>
            <w:tcMar>
              <w:top w:w="40" w:type="dxa"/>
              <w:bottom w:w="40" w:type="dxa"/>
              <w:left w:w="90" w:type="dxa"/>
              <w:right w:w="90" w:type="dxa"/>
            </w:tcMar>
          </w:tcPr>
          <w:p>
            <w:r>
              <w:rPr>
                <w:sz w:val="18"/>
              </w:rPr>
              <w:t>Deep prior-art + current-law + regulatory review. §0 Validity Verdict added. All claims re-rated against named prior art (C1 US7958019B2; C3 Pingsby US20120005033A1; C9 Agentforce/Google US12,282,731). §6 restructuring (Claims 7+2 independent; C1/C4/C5/C8/C9 demoted). §8 risk refreshed: Banks Act NO RISK reaffirmed; NEW CPA s63 MODERATE-HIGH with no-refund-preserving cures; US-law corrected (Nov-2025 rescission = inventorship, not §101; Recentive; GoTV/Innovaport; PERA not law). US 2014/0040028 flagged unverified.</w:t>
            </w:r>
          </w:p>
        </w:tc>
      </w:tr>
    </w:tbl>
    <w:p>
      <w:pPr>
        <w:spacing w:after="120"/>
      </w:pPr>
      <w:r>
        <w:rPr>
          <w:b w:val="0"/>
          <w:i w:val="0"/>
          <w:sz w:val="21"/>
        </w:rPr>
      </w:r>
    </w:p>
    <w:p>
      <w:pPr>
        <w:spacing w:after="120"/>
      </w:pPr>
      <w:r>
        <w:rPr>
          <w:b/>
          <w:i w:val="0"/>
          <w:color w:val="B03A3A"/>
          <w:sz w:val="18"/>
        </w:rPr>
        <w:t>PRIVILEGED AND CONFIDENTIAL — ATTORNEY-CLIENT MATERIAL — Not for distribution beyond named counsel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B"/>
        <w:sz w:val="16"/>
      </w:rPr>
      <w:t>TrustSquare (Pty) Ltd  |  Reg 2026/340128/07  |  IP Brief v5  |  June 2026  |  PRIVILEGED &amp;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5A8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