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5A88"/>
          <w:sz w:val="32"/>
        </w:rPr>
        <w:t>Trustsquare (Pty) Ltd</w:t>
      </w:r>
    </w:p>
    <w:p>
      <w:pPr>
        <w:spacing w:after="40"/>
      </w:pPr>
      <w:r>
        <w:rPr>
          <w:rFonts w:ascii="Arial" w:hAnsi="Arial"/>
          <w:b/>
          <w:color w:val="1C2733"/>
          <w:sz w:val="26"/>
        </w:rPr>
        <w:t>IP Protection &amp; Patent Strategy</w:t>
      </w:r>
    </w:p>
    <w:p>
      <w:pPr>
        <w:spacing w:after="40"/>
      </w:pPr>
      <w:r>
        <w:rPr>
          <w:rFonts w:ascii="Arial" w:hAnsi="Arial"/>
          <w:b w:val="0"/>
          <w:color w:val="5A6B7B"/>
          <w:sz w:val="21"/>
        </w:rPr>
        <w:t>Internal Reference Document  |  Version 4.0  |  June 2026</w:t>
      </w:r>
    </w:p>
    <w:p>
      <w:pPr>
        <w:spacing w:after="40"/>
      </w:pPr>
      <w:r>
        <w:rPr>
          <w:rFonts w:ascii="Arial" w:hAnsi="Arial"/>
          <w:b w:val="0"/>
          <w:color w:val="5A6B7B"/>
          <w:sz w:val="20"/>
        </w:rPr>
        <w:t>Reg. No: 2026/340128/07  |  CIPC Registered 29 April 2026  |  Director: David Maurice Conradie</w:t>
      </w:r>
    </w:p>
    <w:p>
      <w:pPr>
        <w:spacing w:after="120"/>
      </w:pPr>
      <w:r>
        <w:rPr>
          <w:b/>
          <w:i w:val="0"/>
          <w:color w:val="B03A3A"/>
          <w:sz w:val="19"/>
        </w:rPr>
        <w:t>CONFIDENTIAL — Internal Strategy Document</w:t>
      </w:r>
    </w:p>
    <w:p>
      <w:pPr>
        <w:pBdr>
          <w:bottom w:val="single" w:sz="6" w:space="1" w:color="2E5A88"/>
        </w:pBdr>
        <w:spacing w:after="80"/>
      </w:pPr>
    </w:p>
    <w:p>
      <w:pPr>
        <w:pStyle w:val="Heading1"/>
      </w:pPr>
      <w:r>
        <w:t>0. What v4 changes</w:t>
      </w:r>
    </w:p>
    <w:p>
      <w:pPr>
        <w:spacing w:after="120"/>
      </w:pPr>
      <w:r>
        <w:rPr>
          <w:b w:val="0"/>
          <w:i w:val="0"/>
          <w:sz w:val="21"/>
        </w:rPr>
        <w:t>v4 incorporates the June 2026 deep prior-art + current-law + regulatory review (IP Brief v5; Pre-Filing Supplement 2026-06). Headlines: (a) the portfolio consolidates onto TWO independent anchors — Claim 7 (combination) and Claim 2 (Tuppence bundle) — with C1/C4/C5/C8/C9 demoted to dependent; (b) Claim 3 is held pending a Pingsby claim-read; (c) regulatory: Banks Act NO RISK reaffirmed, but a NEW Consumer Protection Act s63 item is added to the pre-filing checklist; (d) the small-entity PCT fee-reduction assumption is corrected (SA corporate applicant does not qualify).</w:t>
      </w:r>
    </w:p>
    <w:p>
      <w:pPr>
        <w:pStyle w:val="Heading1"/>
      </w:pPr>
      <w:r>
        <w:t>1. Filing Sequence &amp; Steps</w:t>
      </w:r>
    </w:p>
    <w:tbl>
      <w:tblPr>
        <w:tblW w:type="auto" w:w="0"/>
        <w:jc w:val="center"/>
        <w:tblBorders>
          <w:top w:val="single" w:sz="6" w:space="0" w:color="E6C577"/>
          <w:left w:val="single" w:sz="6" w:space="0" w:color="E6C577"/>
          <w:bottom w:val="single" w:sz="6" w:space="0" w:color="E6C577"/>
          <w:right w:val="single" w:sz="6" w:space="0" w:color="E6C577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FF4E0"/>
          </w:tcPr>
          <w:p>
            <w:r>
              <w:rPr>
                <w:b/>
                <w:color w:val="9A6B00"/>
                <w:sz w:val="19"/>
              </w:rPr>
              <w:t>CRITICAL: PUBLISH BEFORE FILING = LOSS OF PATENT RIGHTS. File the provisional first → file the trade mark → THEN publish the whitepaper publicly. The OpenTimestamps/ip.com/archive.org steps establish a prior-art date; they do NOT replace formal filing. SA gives a 6-month grace for the inventor’s own disclosure; the USA/EU and most jurisdictions are strict or limited.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2F6FA"/>
            <w:tcW w:w="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Step</w:t>
            </w:r>
          </w:p>
        </w:tc>
        <w:tc>
          <w:tcPr>
            <w:tcW w:type="dxa" w:w="3120"/>
            <w:shd w:val="clear" w:fill="F2F6FA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Timing &amp; Action</w:t>
            </w:r>
          </w:p>
        </w:tc>
        <w:tc>
          <w:tcPr>
            <w:tcW w:type="dxa" w:w="3120"/>
            <w:shd w:val="clear" w:fill="F2F6FA"/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Detail</w:t>
            </w:r>
          </w:p>
        </w:tc>
      </w:tr>
      <w:tr>
        <w:tc>
          <w:tcPr>
            <w:tcW w:type="dxa" w:w="3120"/>
            <w:tcW w:w="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Step 1</w:t>
            </w:r>
          </w:p>
        </w:tc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Before Day 0 — SA Provisional Patent</w:t>
            </w:r>
          </w:p>
        </w:tc>
        <w:tc>
          <w:tcPr>
            <w:tcW w:type="dxa" w:w="3120"/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File via iponline.cipc.co.za on or before public launch. Locks the priority date; 12 months to prepare the full application. 9 claims, restructured per IP Brief v5 §6 (Claims 7 + 2 independent; remainder dependent). Engage patent attorney before filing.</w:t>
            </w:r>
          </w:p>
        </w:tc>
      </w:tr>
      <w:tr>
        <w:tc>
          <w:tcPr>
            <w:tcW w:type="dxa" w:w="3120"/>
            <w:tcW w:w="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Step 2</w:t>
            </w:r>
          </w:p>
        </w:tc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Day 0 — SA Trade Mark</w:t>
            </w:r>
          </w:p>
        </w:tc>
        <w:tc>
          <w:tcPr>
            <w:tcW w:type="dxa" w:w="3120"/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File via iponline.cipc.co.za under Nice Classes 35, 36, 42. Protection runs from filing date. Madrid Protocol within 12 months for international coverage.</w:t>
            </w:r>
          </w:p>
        </w:tc>
      </w:tr>
      <w:tr>
        <w:tc>
          <w:tcPr>
            <w:tcW w:type="dxa" w:w="3120"/>
            <w:tcW w:w="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Step 3</w:t>
            </w:r>
          </w:p>
        </w:tc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Month 10–11 — PCT International Application</w:t>
            </w:r>
          </w:p>
        </w:tc>
        <w:tc>
          <w:tcPr>
            <w:tcW w:type="dxa" w:w="3120"/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File PCT via CIPC as Receiving Office (discharges the s23A foreign-filing-licence obligation automatically), EPO elected as ISA. International Search Report ~5–6 months after PCT filing — the real substantive test.</w:t>
            </w:r>
          </w:p>
        </w:tc>
      </w:tr>
      <w:tr>
        <w:tc>
          <w:tcPr>
            <w:tcW w:type="dxa" w:w="3120"/>
            <w:tcW w:w="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Step 4</w:t>
            </w:r>
          </w:p>
        </w:tc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By Month 30 — National Phase Entries</w:t>
            </w:r>
          </w:p>
        </w:tc>
        <w:tc>
          <w:tcPr>
            <w:tcW w:type="dxa" w:w="3120"/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 set: South Africa (home market), USA, EPO regional phase (38 states), UK (separate post-Brexit), Kenya (KIPI), Nigeria. NOTE: no small-entity/developing-country PCT fee reduction applies — SA is not a listed economy and the applicant is a corporate entity. Budget full fees.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pStyle w:val="Heading1"/>
      </w:pPr>
      <w:r>
        <w:t>2. The 9 Patent Claims (re-rated, June 2026)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6FA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#</w:t>
            </w:r>
          </w:p>
        </w:tc>
        <w:tc>
          <w:tcPr>
            <w:tcW w:type="dxa" w:w="2340"/>
            <w:shd w:val="clear" w:fill="F2F6FA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Claim</w:t>
            </w:r>
          </w:p>
        </w:tc>
        <w:tc>
          <w:tcPr>
            <w:tcW w:type="dxa" w:w="2340"/>
            <w:shd w:val="clear" w:fill="F2F6FA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Rating</w:t>
            </w:r>
          </w:p>
        </w:tc>
        <w:tc>
          <w:tcPr>
            <w:tcW w:type="dxa" w:w="2340"/>
            <w:shd w:val="clear" w:fill="F2F6FA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v4 disposition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Unified Participation Model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DEMOTE to dependent of C7. Anticipated by US7958019B2/US20070211651A1. Retain only with a recited technical effect (no schema-migration on role transition).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Tuppence Introduction Currency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MODERATE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INDEPENDENT ANCHOR. Buyer-paid inverts seller-paid Bark/Thumbtack. Element 2A express; no-transfer-endpoint + no-restitution recitations. Banks Act NO RISK (Erratum).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Anonymous Introduction Protocol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AT RISK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HOLD pending Pingsby (US20120005033A1) claim-read. Narrow to an atomic, leak-free protocol or demote.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Trust Score Composite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DEMOTE or narrow to tamper-prevention subsystem. eBay/Airbnb/Uber/LinkedIn SSI.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C5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Geo-Hierarchical Visibility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DEMOTE or reframe as data-access-layer query rewriting. Tiered classifieds prior art.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C6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Founding Seller Cohort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9A6B00"/>
                <w:sz w:val="17"/>
              </w:rPr>
              <w:t>MOD-NARROW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DEMOTE; reframe as bounded cold-start boost with DB cardinality constraint.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C7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Combination + AI Services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MOD-STRONG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LEAD INDEPENDENT CLAIM. One non-refundable currency gating intros AND AI services + existence gate. Strongest claim.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C8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Heritage Content Linking (dep C1)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Keep as dependent only. Zillow/Geoapify POI enrichment prior art.</w:t>
            </w:r>
          </w:p>
        </w:tc>
      </w:tr>
      <w:tr>
        <w:tc>
          <w:tcPr>
            <w:tcW w:type="dxa" w:w="2340"/>
            <w:tcW w:w="47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C9</w:t>
            </w:r>
          </w:p>
        </w:tc>
        <w:tc>
          <w:tcPr>
            <w:tcW w:type="dxa" w:w="2340"/>
            <w:tcW w:w="215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AI Inbound Triage</w:t>
            </w:r>
          </w:p>
        </w:tc>
        <w:tc>
          <w:tcPr>
            <w:tcW w:type="dxa" w:w="2340"/>
            <w:tcW w:w="124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2340"/>
            <w:tcW w:w="5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DEMOTE to narrow dependent of C7 (invariant-encoding + secret-auth gate). Agentforce/Intercom/Zendesk/Google US12,282,731. Avoid ‘classify with AI’.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pStyle w:val="Heading1"/>
      </w:pPr>
      <w:r>
        <w:t>3. New Patentable Elements (status)</w:t>
      </w:r>
    </w:p>
    <w:p>
      <w:pPr>
        <w:spacing w:after="120"/>
      </w:pPr>
      <w:r>
        <w:rPr>
          <w:b w:val="0"/>
          <w:i w:val="0"/>
          <w:sz w:val="21"/>
        </w:rPr>
        <w:t>The Session 73–94 elements remain part of the portfolio and are carried into Claim 7 as the combination’s extended elements:</w:t>
      </w:r>
    </w:p>
    <w:p>
      <w:pPr>
        <w:pStyle w:val="ListBullet"/>
        <w:spacing w:after="60"/>
      </w:pPr>
      <w:r>
        <w:rPr>
          <w:sz w:val="21"/>
        </w:rPr>
        <w:t>AI Services Layer (10 services, Tuppence-gated) — the dual-use commitment-currency architecture (intros + AI) is the combination’s novel spine.</w:t>
      </w:r>
    </w:p>
    <w:p>
      <w:pPr>
        <w:pStyle w:val="ListBullet"/>
        <w:spacing w:after="60"/>
      </w:pPr>
      <w:r>
        <w:rPr>
          <w:sz w:val="21"/>
        </w:rPr>
        <w:t>AI Guardrail Architecture — the existence gate (registered-user lookup before any external LLM call) is the portfolio’s strongest standalone TECHNICAL element under US Alice step 2 and EPO COMVIK (cf. T1658/15). Spend register supports it as a metering loop.</w:t>
      </w:r>
    </w:p>
    <w:p>
      <w:pPr>
        <w:pStyle w:val="ListBullet"/>
        <w:spacing w:after="60"/>
      </w:pPr>
      <w:r>
        <w:rPr>
          <w:sz w:val="21"/>
        </w:rPr>
        <w:t>Subscription Tier Slot Enforcement (server-side, publish-time, HTTP 402) — a concrete technical control; architecturally separate from Tuppence.</w:t>
      </w:r>
    </w:p>
    <w:p>
      <w:pPr>
        <w:pStyle w:val="ListBullet"/>
        <w:spacing w:after="60"/>
      </w:pPr>
      <w:r>
        <w:rPr>
          <w:sz w:val="21"/>
        </w:rPr>
        <w:t>AI Inbound Email Triage (Session 94) — NOT a standalone claim; fold into C7 as a dependent on the invariant-encoding + secret-auth ingestion gate.</w:t>
      </w:r>
    </w:p>
    <w:p>
      <w:pPr>
        <w:spacing w:after="120"/>
      </w:pPr>
      <w:r>
        <w:rPr>
          <w:b w:val="0"/>
          <w:i w:val="0"/>
          <w:sz w:val="21"/>
        </w:rPr>
        <w:t>Two construction points for counsel (priority): (a) Claim 2 is NOT a referral/commission fee — buyer-paid, fixed, pre-introduction, outcome-independent, non-refundable, blind (Element 2A); (b) Claim 8 is a METHOD, not a catalogue — site count/source/cap are non-limiting implementation detail.</w:t>
      </w:r>
    </w:p>
    <w:p>
      <w:r>
        <w:br w:type="page"/>
      </w:r>
    </w:p>
    <w:p>
      <w:pPr>
        <w:pStyle w:val="Heading1"/>
      </w:pPr>
      <w:r>
        <w:t>4. Attorney Consultation (priority action)</w:t>
      </w:r>
    </w:p>
    <w:p>
      <w:pPr>
        <w:spacing w:after="120"/>
      </w:pPr>
      <w:r>
        <w:rPr>
          <w:b w:val="0"/>
          <w:i w:val="0"/>
          <w:sz w:val="21"/>
        </w:rPr>
        <w:t>Engage instructed counsel (Adams &amp; Adams, Spoor &amp; Fisher, or Bowmans) and brief them with: IP Brief v5, the Pre-Filing Consultation Memorandum (2026-05-12), its Erratum, and the June 2026 Supplement, plus the Whitepaper v3.4. Budget R5,000 for the initial consultation. Key decisions for counsel:</w:t>
      </w:r>
    </w:p>
    <w:p>
      <w:pPr>
        <w:pStyle w:val="ListNumber"/>
        <w:spacing w:after="60"/>
      </w:pPr>
      <w:r>
        <w:rPr>
          <w:sz w:val="21"/>
        </w:rPr>
        <w:t>Adopt the two-anchor restructuring (Claims 7 + 2 independent; C1/C4/C5/C8/C9 dependent; C3 held pending Pingsby).</w:t>
      </w:r>
    </w:p>
    <w:p>
      <w:pPr>
        <w:pStyle w:val="ListNumber"/>
        <w:spacing w:after="60"/>
      </w:pPr>
      <w:r>
        <w:rPr>
          <w:sz w:val="21"/>
        </w:rPr>
        <w:t>Clear Claim 3 against Pingsby (US20120005033A1) before filing.</w:t>
      </w:r>
    </w:p>
    <w:p>
      <w:pPr>
        <w:pStyle w:val="ListNumber"/>
        <w:spacing w:after="60"/>
      </w:pPr>
      <w:r>
        <w:rPr>
          <w:sz w:val="21"/>
        </w:rPr>
        <w:t>Commission a paid PatBase/Derwent novelty search; confirm/replace the unverified US 2014/0040028 reference.</w:t>
      </w:r>
    </w:p>
    <w:p>
      <w:pPr>
        <w:pStyle w:val="ListNumber"/>
        <w:spacing w:after="60"/>
      </w:pPr>
      <w:r>
        <w:rPr>
          <w:sz w:val="21"/>
        </w:rPr>
        <w:t>Sign off the CPA s63 product fixes (burn-as-service-rendered; float expiry ≥ 36 months) before enabling paid Tuppence purchases.</w:t>
      </w:r>
    </w:p>
    <w:p>
      <w:pPr>
        <w:pStyle w:val="Heading1"/>
      </w:pPr>
      <w:r>
        <w:t>5. Current Asset Status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2F6FA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Asset</w:t>
            </w:r>
          </w:p>
        </w:tc>
        <w:tc>
          <w:tcPr>
            <w:tcW w:type="dxa" w:w="3120"/>
            <w:shd w:val="clear" w:fill="F2F6FA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Status</w:t>
            </w:r>
          </w:p>
        </w:tc>
        <w:tc>
          <w:tcPr>
            <w:tcW w:type="dxa" w:w="3120"/>
            <w:shd w:val="clear" w:fill="F2F6FA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Notes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Whitepaper v3.4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Ready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June 2026. CIPC corrected; buyer-paid inversion narrative; CPA-aligned Tuppence framing; claim hierarchy.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IP Brief v5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Ready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June 2026. Validity verdict; 9 claims re-rated; restructuring; CPA s63; corrected US-law + unverified-reference flag.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Patent Strategy v4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Ready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This document.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Pre-Filing Memo + Erratum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Ready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May 2026. Attorney-work-product. SA/PCT/USPTO/EPO.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Pre-Filing Supplement 2026-06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Ready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June 2026. Prior-art refresh, current law, CPA s63.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Claim Visuals v2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Ready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June 2026. Illustrative; re-rated tags; verdict legend.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SA Provisional Patent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9A6B00"/>
                <w:sz w:val="17"/>
              </w:rPr>
              <w:t>PENDING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File before public launch. Restructured 9 claims.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SA Trade Mark (35/36/42)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9A6B00"/>
                <w:sz w:val="17"/>
              </w:rPr>
              <w:t>PENDING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File same day as provisional.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CIPC Company Registration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Complete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Reg 2026/340128/07 (29 Apr 2026).</w:t>
            </w:r>
          </w:p>
        </w:tc>
      </w:tr>
      <w:tr>
        <w:tc>
          <w:tcPr>
            <w:tcW w:type="dxa" w:w="3120"/>
            <w:tcW w:w="23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BEA v1.3.4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Live</w:t>
            </w:r>
          </w:p>
        </w:tc>
        <w:tc>
          <w:tcPr>
            <w:tcW w:type="dxa" w:w="3120"/>
            <w:tcW w:w="5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FastAPI + SQLite · Hetzner CPX32 · 56 listings · AI email triage live.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pStyle w:val="Heading1"/>
      </w:pPr>
      <w:r>
        <w:t>6. Pre-Filing Checklist &amp; Next Actions (in order)</w:t>
      </w:r>
    </w:p>
    <w:p>
      <w:pPr>
        <w:pStyle w:val="ListNumber"/>
        <w:spacing w:after="60"/>
      </w:pPr>
      <w:r>
        <w:rPr>
          <w:sz w:val="21"/>
        </w:rPr>
        <w:t>Book attorney consultation; bring IP Brief v5 + Pre-Filing Memo + Erratum + June 2026 Supplement.</w:t>
      </w:r>
    </w:p>
    <w:p>
      <w:pPr>
        <w:pStyle w:val="ListNumber"/>
        <w:spacing w:after="60"/>
      </w:pPr>
      <w:r>
        <w:rPr>
          <w:sz w:val="21"/>
        </w:rPr>
        <w:t>Agree the two-anchor restructuring and the Claim 9 fold-in; clear Claim 3 against Pingsby.</w:t>
      </w:r>
    </w:p>
    <w:p>
      <w:pPr>
        <w:pStyle w:val="ListNumber"/>
        <w:spacing w:after="60"/>
      </w:pPr>
      <w:r>
        <w:rPr>
          <w:sz w:val="21"/>
        </w:rPr>
        <w:t>Commission paid prior-art search; confirm/replace US 2014/0040028.</w:t>
      </w:r>
    </w:p>
    <w:p>
      <w:pPr>
        <w:pStyle w:val="ListNumber"/>
        <w:spacing w:after="60"/>
      </w:pPr>
      <w:r>
        <w:rPr>
          <w:sz w:val="21"/>
        </w:rPr>
        <w:t>CPA s63 (LAUNCH BLOCKER): extend unspent-Tuppence dormancy expiry to ≥ 36 months; disclose the burn as payment for the matching service rendered at request. Preserve strict cash non-refundability — no re-credit, no cash refund.</w:t>
      </w:r>
    </w:p>
    <w:p>
      <w:pPr>
        <w:pStyle w:val="ListNumber"/>
        <w:spacing w:after="60"/>
      </w:pPr>
      <w:r>
        <w:rPr>
          <w:sz w:val="21"/>
        </w:rPr>
        <w:t>Confirm Banks Act NO RISK (Erratum + SARB Draft Exemption Notice 14 Nov 2025); monitor SARB closed-loop REGISTRATION and the NPS Bill.</w:t>
      </w:r>
    </w:p>
    <w:p>
      <w:pPr>
        <w:pStyle w:val="ListNumber"/>
        <w:spacing w:after="60"/>
      </w:pPr>
      <w:r>
        <w:rPr>
          <w:sz w:val="21"/>
        </w:rPr>
        <w:t>Ground POPIA on legitimate-interest/contract; minimise + TTL the email_triage body_preview; keep onboarding mail transactional.</w:t>
      </w:r>
    </w:p>
    <w:p>
      <w:pPr>
        <w:pStyle w:val="ListNumber"/>
        <w:spacing w:after="60"/>
      </w:pPr>
      <w:r>
        <w:rPr>
          <w:sz w:val="21"/>
        </w:rPr>
        <w:t>File SA Provisional (iponline.cipc.co.za) before any public disclosure.</w:t>
      </w:r>
    </w:p>
    <w:p>
      <w:pPr>
        <w:pStyle w:val="ListNumber"/>
        <w:spacing w:after="60"/>
      </w:pPr>
      <w:r>
        <w:rPr>
          <w:sz w:val="21"/>
        </w:rPr>
        <w:t>File SA Trade Mark (35/36/42) same day.</w:t>
      </w:r>
    </w:p>
    <w:p>
      <w:pPr>
        <w:pStyle w:val="ListNumber"/>
        <w:spacing w:after="60"/>
      </w:pPr>
      <w:r>
        <w:rPr>
          <w:sz w:val="21"/>
        </w:rPr>
        <w:t>SHA-256 hash Whitepaper v3.4 → OpenTimestamps; upload to ip.com; submit trustsquare.co to archive.org.</w:t>
      </w:r>
    </w:p>
    <w:p>
      <w:pPr>
        <w:pStyle w:val="ListNumber"/>
        <w:spacing w:after="60"/>
      </w:pPr>
      <w:r>
        <w:rPr>
          <w:sz w:val="21"/>
        </w:rPr>
        <w:t>ONLY THEN publish the whitepaper publicly and commence the launch campaign.</w:t>
      </w:r>
    </w:p>
    <w:p>
      <w:pPr>
        <w:pStyle w:val="Heading1"/>
      </w:pPr>
      <w:r>
        <w:t>Version History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2F6FA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8"/>
              </w:rPr>
              <w:t>Version</w:t>
            </w:r>
          </w:p>
        </w:tc>
        <w:tc>
          <w:tcPr>
            <w:tcW w:type="dxa" w:w="4680"/>
            <w:shd w:val="clear" w:fill="F2F6FA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8"/>
              </w:rPr>
              <w:t>Change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v1.0 (May 2026)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Initial 7-claim strategy.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v2.0 (May 2026)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8 claims; subscription redesign; AI Services; AI guardrail; Claim 7 expanded.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v3.0 (May 2026)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Claim 9 added; referral-fee distinction (2A); Claim 8 method framing. 9 claims.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v4.0 (Jun 2026)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Deep-research update. Claims re-rated; two-anchor restructuring (C7+C2 independent; C1/C4/C5/C8/C9 dependent; C3 held on Pingsby). NEW CPA s63 pre-filing item with no-refund-preserving cures. Corrected PCT small-entity fee assumption. US-law refresh (Recentive; GoTV/Innovaport; Nov-2025 rescission = inventorship). Asset status refreshed (IP Brief v5, Whitepaper v3.4, Supplement, Visuals v2).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/>
          <w:i w:val="0"/>
          <w:color w:val="5A6B7B"/>
          <w:sz w:val="18"/>
        </w:rPr>
        <w:t>Trustsquare (Pty) Ltd  |  Reg. 2026/340128/07  |  CONFIDENTIAL — Internal Strategy Document  |  v4.0  |  June 2026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B"/>
        <w:sz w:val="16"/>
      </w:rPr>
      <w:t>TrustSquare IP Strategy v4.0  |  June 2026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5A8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