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color w:val="B03A3A"/>
          <w:sz w:val="19"/>
        </w:rPr>
        <w:t>PRIVILEGED AND CONFIDENTIAL</w:t>
      </w:r>
    </w:p>
    <w:p>
      <w:pPr>
        <w:spacing w:after="120"/>
      </w:pPr>
      <w:r>
        <w:rPr>
          <w:b/>
          <w:i w:val="0"/>
          <w:color w:val="1C2733"/>
          <w:sz w:val="20"/>
        </w:rPr>
        <w:t>ATTORNEY WORK PRODUCT — PRE-FILING CONSULTATION SUPPLEMENT</w:t>
      </w:r>
    </w:p>
    <w:p>
      <w:pPr>
        <w:spacing w:after="40"/>
      </w:pPr>
      <w:r>
        <w:rPr>
          <w:rFonts w:ascii="Arial" w:hAnsi="Arial"/>
          <w:b/>
          <w:color w:val="2E5A88"/>
          <w:sz w:val="26"/>
        </w:rPr>
        <w:t>Supplemental Memorandum — June 2026 Update</w:t>
      </w:r>
    </w:p>
    <w:p>
      <w:pPr>
        <w:spacing w:after="40"/>
      </w:pPr>
      <w:r>
        <w:rPr>
          <w:rFonts w:ascii="Arial" w:hAnsi="Arial"/>
          <w:b w:val="0"/>
          <w:color w:val="5A6B7B"/>
          <w:sz w:val="20"/>
        </w:rPr>
        <w:t>Prior-art refresh, current-law update (SA / US / EPO), and Consumer Protection Act exposure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F2F6FA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9"/>
              </w:rPr>
            </w:r>
          </w:p>
        </w:tc>
        <w:tc>
          <w:tcPr>
            <w:tcW w:type="dxa" w:w="4680"/>
            <w:shd w:val="clear" w:fill="F2F6FA"/>
            <w:tcW w:w="7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9"/>
              </w:rPr>
            </w:r>
          </w:p>
        </w:tc>
      </w:tr>
      <w:tr>
        <w:tc>
          <w:tcPr>
            <w:tcW w:type="dxa" w:w="468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To:</w:t>
            </w:r>
          </w:p>
        </w:tc>
        <w:tc>
          <w:tcPr>
            <w:tcW w:type="dxa" w:w="4680"/>
            <w:tcW w:w="7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The Board, Trustsquare (Pty) Ltd (Reg. 2026/340128/07)</w:t>
            </w:r>
          </w:p>
        </w:tc>
      </w:tr>
      <w:tr>
        <w:tc>
          <w:tcPr>
            <w:tcW w:type="dxa" w:w="468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Attention:</w:t>
            </w:r>
          </w:p>
        </w:tc>
        <w:tc>
          <w:tcPr>
            <w:tcW w:type="dxa" w:w="4680"/>
            <w:tcW w:w="7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Mr D. M. Conradie, Director</w:t>
            </w:r>
          </w:p>
        </w:tc>
      </w:tr>
      <w:tr>
        <w:tc>
          <w:tcPr>
            <w:tcW w:type="dxa" w:w="468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From:</w:t>
            </w:r>
          </w:p>
        </w:tc>
        <w:tc>
          <w:tcPr>
            <w:tcW w:type="dxa" w:w="4680"/>
            <w:tcW w:w="7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Senior Patent Counsel — SA Software &amp; Platform IP Practice</w:t>
            </w:r>
          </w:p>
        </w:tc>
      </w:tr>
      <w:tr>
        <w:tc>
          <w:tcPr>
            <w:tcW w:type="dxa" w:w="468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Date:</w:t>
            </w:r>
          </w:p>
        </w:tc>
        <w:tc>
          <w:tcPr>
            <w:tcW w:type="dxa" w:w="4680"/>
            <w:tcW w:w="7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1 June 2026</w:t>
            </w:r>
          </w:p>
        </w:tc>
      </w:tr>
      <w:tr>
        <w:tc>
          <w:tcPr>
            <w:tcW w:type="dxa" w:w="468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Re:</w:t>
            </w:r>
          </w:p>
        </w:tc>
        <w:tc>
          <w:tcPr>
            <w:tcW w:type="dxa" w:w="4680"/>
            <w:tcW w:w="7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Update to TS-PRE-FILING-2026-05-12-v1 and its Erratum, in light of a June 2026 deep prior-art and current-law review.</w:t>
            </w:r>
          </w:p>
        </w:tc>
      </w:tr>
      <w:tr>
        <w:tc>
          <w:tcPr>
            <w:tcW w:type="dxa" w:w="468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Status:</w:t>
            </w:r>
          </w:p>
        </w:tc>
        <w:tc>
          <w:tcPr>
            <w:tcW w:type="dxa" w:w="4680"/>
            <w:tcW w:w="7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9"/>
              </w:rPr>
              <w:t>DRAFT supplement — to be read WITH, and as an update to, the 12 May 2026 memorandum and Erratum, which it supplements and does not replace.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pBdr>
          <w:bottom w:val="single" w:sz="6" w:space="1" w:color="2E5A88"/>
        </w:pBdr>
        <w:spacing w:after="80"/>
      </w:pPr>
    </w:p>
    <w:p>
      <w:pPr>
        <w:pStyle w:val="Heading1"/>
      </w:pPr>
      <w:r>
        <w:t>1. Why this supplement issues</w:t>
      </w:r>
    </w:p>
    <w:p>
      <w:pPr>
        <w:spacing w:after="120"/>
      </w:pPr>
      <w:r>
        <w:rPr>
          <w:b w:val="0"/>
          <w:i w:val="0"/>
          <w:sz w:val="21"/>
        </w:rPr>
        <w:t>The 12 May 2026 memorandum stress-tested seven claims against five named platforms and assessed the regulatory perimeter. Since then the claim schedule has grown to nine claims (IP Brief v4–v5), and the client commissioned a deeper, primary-source-weighted prior-art and current-law review (June 2026). That review (a) located specific near-anticipatory references not in the original five-platform set; (b) updated US/EPO eligibility law to June 2026; and (c) identified a consumer-protection exposure (CPA s63) that the original memorandum did not address. This supplement records those findings and revises the claim-by-claim verdict accordingly. The original memorandum’s strategic spine — provisional before publication, CIPC as PCT Receiving Office, EPO as ISA, redraft to technical framing — stands unchanged and is reinforced.</w:t>
      </w:r>
    </w:p>
    <w:p>
      <w:pPr>
        <w:pStyle w:val="Heading1"/>
      </w:pPr>
      <w:r>
        <w:t>2. Executive summary of the update</w:t>
      </w:r>
    </w:p>
    <w:p>
      <w:pPr>
        <w:spacing w:after="120"/>
      </w:pPr>
      <w:r>
        <w:rPr>
          <w:b w:val="0"/>
          <w:i w:val="0"/>
          <w:sz w:val="21"/>
        </w:rPr>
        <w:t>The core conclusion is unchanged and now better evidenced: TrustSquare has a defensible inventive CORE but not nine independent monopolies. The June 2026 search hardens this in three ways.</w:t>
      </w:r>
    </w:p>
    <w:p>
      <w:pPr>
        <w:pStyle w:val="ListBullet"/>
        <w:spacing w:after="60"/>
      </w:pPr>
      <w:r>
        <w:rPr>
          <w:sz w:val="21"/>
        </w:rPr>
        <w:t>Stronger anchors confirmed: Claim 7 (the specific integration) and Claim 2’s buyer-paid/non-refundable/fixed/pre-introduction/blind bundle were NOT found pre-combined. These should carry the filing as the two independent claims.</w:t>
      </w:r>
    </w:p>
    <w:p>
      <w:pPr>
        <w:pStyle w:val="ListBullet"/>
        <w:spacing w:after="60"/>
      </w:pPr>
      <w:r>
        <w:rPr>
          <w:sz w:val="21"/>
        </w:rPr>
        <w:t>New anticipation exposure on Claim 3: US20120005033A1 (Pingsby) discloses bilateral, simultaneous, anonymous-until-mutual-consent identity disclosure. This is the single highest §102 risk in the portfolio and must be cleared (claim-read) before filing.</w:t>
      </w:r>
    </w:p>
    <w:p>
      <w:pPr>
        <w:pStyle w:val="ListBullet"/>
        <w:spacing w:after="60"/>
      </w:pPr>
      <w:r>
        <w:rPr>
          <w:sz w:val="21"/>
        </w:rPr>
        <w:t>Claim 9 (AI email triage) is, on the June 2026 art, obvious — the conjunctive confidence-plus-allow-list auto-send gate is the industry-standard 2024–26 pattern (Agentforce, Intercom, Zendesk, Google US12,282,731). It should not be filed as a standalone independent claim.</w:t>
      </w:r>
    </w:p>
    <w:p>
      <w:pPr>
        <w:pStyle w:val="ListBullet"/>
        <w:spacing w:after="60"/>
      </w:pPr>
      <w:r>
        <w:rPr>
          <w:sz w:val="21"/>
        </w:rPr>
        <w:t>Regulatory: the Banks Act position is reaffirmed as NO RISK (and is now supported by the SARB Draft Payment Activities Exemption Notice of 14 Nov 2025). BUT a Consumer Protection Act 68 of 2008 s63 exposure (MODERATE-HIGH) is newly identified and must be addressed before public launch — see §6.</w:t>
      </w:r>
    </w:p>
    <w:p>
      <w:r>
        <w:br w:type="page"/>
      </w:r>
    </w:p>
    <w:p>
      <w:pPr>
        <w:pStyle w:val="Heading1"/>
      </w:pPr>
      <w:r>
        <w:t>3. Updated prior-art stress test (named references)</w:t>
      </w:r>
    </w:p>
    <w:p>
      <w:pPr>
        <w:spacing w:after="120"/>
      </w:pPr>
      <w:r>
        <w:rPr>
          <w:b w:val="0"/>
          <w:i w:val="0"/>
          <w:sz w:val="21"/>
        </w:rPr>
        <w:t>The following references supplement (and in places supersede) the five-platform table in §3.1 of the original memorandum. They are primary-source-weighted; a full professional PatBase/Derwent search remains a pre-filing action item.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2F6FA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Claim</w:t>
            </w:r>
          </w:p>
        </w:tc>
        <w:tc>
          <w:tcPr>
            <w:tcW w:type="dxa" w:w="3120"/>
            <w:shd w:val="clear" w:fill="F2F6FA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Rating</w:t>
            </w:r>
          </w:p>
        </w:tc>
        <w:tc>
          <w:tcPr>
            <w:tcW w:type="dxa" w:w="3120"/>
            <w:shd w:val="clear" w:fill="F2F6FA"/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Updated finding / action</w:t>
            </w:r>
          </w:p>
        </w:tc>
      </w:tr>
      <w:tr>
        <w:tc>
          <w:tcPr>
            <w:tcW w:type="dxa" w:w="312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C1 Unified role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B03A3A"/>
                <w:sz w:val="17"/>
              </w:rPr>
              <w:t>WEAK</w:t>
            </w:r>
          </w:p>
        </w:tc>
        <w:tc>
          <w:tcPr>
            <w:tcW w:type="dxa" w:w="3120"/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US7958019B2 / US20070211651A1 — peer-to-peer trading with roles-based transactions (one account, plurality of roles). Role-from-state is a routine normalisation choice; the original memo’s inventive-step caution (§4.3) is vindicated. Demote to dependent.</w:t>
            </w:r>
          </w:p>
        </w:tc>
      </w:tr>
      <w:tr>
        <w:tc>
          <w:tcPr>
            <w:tcW w:type="dxa" w:w="312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C2 Tuppence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MODERATE</w:t>
            </w:r>
          </w:p>
        </w:tc>
        <w:tc>
          <w:tcPr>
            <w:tcW w:type="dxa" w:w="3120"/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Revised UP from WEAK. Bark/Thumbtack are SELLER-paid; the buyer-paid direction is a genuine inversion. Cost-based anti-spam (Gates stamp, Boxbe, CentMail) shows non-refundable pay-to-contact is old; InMail refunds on response (opposite). The full bundle was not found pre-combined. Independent anchor.</w:t>
            </w:r>
          </w:p>
        </w:tc>
      </w:tr>
      <w:tr>
        <w:tc>
          <w:tcPr>
            <w:tcW w:type="dxa" w:w="312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C3 Anon. protocol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B03A3A"/>
                <w:sz w:val="17"/>
              </w:rPr>
              <w:t>AT RISK</w:t>
            </w:r>
          </w:p>
        </w:tc>
        <w:tc>
          <w:tcPr>
            <w:tcW w:type="dxa" w:w="3120"/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US20120005033A1 (Pingsby) — bilateral simultaneous reveal on mutual interest; also US7203674B2, US8639607B2, US11023942. Highest §102 exposure. Read Pingsby’s claims; narrow or demote.</w:t>
            </w:r>
          </w:p>
        </w:tc>
      </w:tr>
      <w:tr>
        <w:tc>
          <w:tcPr>
            <w:tcW w:type="dxa" w:w="312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C4 Trust score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B03A3A"/>
                <w:sz w:val="17"/>
              </w:rPr>
              <w:t>WEAK</w:t>
            </w:r>
          </w:p>
        </w:tc>
        <w:tc>
          <w:tcPr>
            <w:tcW w:type="dxa" w:w="3120"/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eBay (~1998), Airbnb Superhost, Uber, LinkedIn SSI, Trustpilot. As original memo §3.2.2. Path A (tamper-prevention) or Path B (demote).</w:t>
            </w:r>
          </w:p>
        </w:tc>
      </w:tr>
      <w:tr>
        <w:tc>
          <w:tcPr>
            <w:tcW w:type="dxa" w:w="312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C5 Geo-tier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B03A3A"/>
                <w:sz w:val="17"/>
              </w:rPr>
              <w:t>WEAK</w:t>
            </w:r>
          </w:p>
        </w:tc>
        <w:tc>
          <w:tcPr>
            <w:tcW w:type="dxa" w:w="3120"/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RadiusTheme / GeoDirectory / HivePress gate radius/region by plan. Query-rewriting reframe (memo §8.5) or demote.</w:t>
            </w:r>
          </w:p>
        </w:tc>
      </w:tr>
      <w:tr>
        <w:tc>
          <w:tcPr>
            <w:tcW w:type="dxa" w:w="312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C6 Founding cohort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9A6B00"/>
                <w:sz w:val="17"/>
              </w:rPr>
              <w:t>MOD-NARROW</w:t>
            </w:r>
          </w:p>
        </w:tc>
        <w:tc>
          <w:tcPr>
            <w:tcW w:type="dxa" w:w="3120"/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No exact patent; promotional rule. As original memo §3.2.3 — demote/reframe as bounded cold-start boost with DB cardinality constraint.</w:t>
            </w:r>
          </w:p>
        </w:tc>
      </w:tr>
      <w:tr>
        <w:tc>
          <w:tcPr>
            <w:tcW w:type="dxa" w:w="312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C7 Combination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MOD-STRONG</w:t>
            </w:r>
          </w:p>
        </w:tc>
        <w:tc>
          <w:tcPr>
            <w:tcW w:type="dxa" w:w="3120"/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No single combining reference. Existence gate as external-LLM access-control/metering is the defensible technical anchor (cf. EPO T1658/15). Lead claim.</w:t>
            </w:r>
          </w:p>
        </w:tc>
      </w:tr>
      <w:tr>
        <w:tc>
          <w:tcPr>
            <w:tcW w:type="dxa" w:w="312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C8 Heritage overlay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B03A3A"/>
                <w:sz w:val="17"/>
              </w:rPr>
              <w:t>WEAK</w:t>
            </w:r>
          </w:p>
        </w:tc>
        <w:tc>
          <w:tcPr>
            <w:tcW w:type="dxa" w:w="3120"/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Zillow POI/attendance overlays; Geoapify enrichment; AR real-estate POI. Data-source choice. Dependent of C1 only.</w:t>
            </w:r>
          </w:p>
        </w:tc>
      </w:tr>
      <w:tr>
        <w:tc>
          <w:tcPr>
            <w:tcW w:type="dxa" w:w="3120"/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C9 AI triage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B03A3A"/>
                <w:sz w:val="17"/>
              </w:rPr>
              <w:t>WEAK</w:t>
            </w:r>
          </w:p>
        </w:tc>
        <w:tc>
          <w:tcPr>
            <w:tcW w:type="dxa" w:w="3120"/>
            <w:tcW w:w="66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Salesforce Agentforce (action allow-list + guardrails + human-in-loop + auto-send), Intercom Fin, Zendesk thresholds, Google US12,282,731. Standard pattern. Do not file standalone.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tbl>
      <w:tblPr>
        <w:tblW w:type="auto" w:w="0"/>
        <w:tblBorders>
          <w:top w:val="single" w:sz="6" w:space="0" w:color="E6C577"/>
          <w:left w:val="single" w:sz="6" w:space="0" w:color="E6C577"/>
          <w:bottom w:val="single" w:sz="6" w:space="0" w:color="E6C577"/>
          <w:right w:val="single" w:sz="6" w:space="0" w:color="E6C577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FF4E0"/>
          </w:tcPr>
          <w:p>
            <w:r>
              <w:rPr>
                <w:b/>
                <w:color w:val="9A6B00"/>
                <w:sz w:val="21"/>
              </w:rPr>
              <w:t>Correction:</w:t>
            </w:r>
            <w:r>
              <w:t xml:space="preserve">  —  </w:t>
            </w:r>
            <w:r>
              <w:rPr>
                <w:sz w:val="20"/>
              </w:rPr>
              <w:t>The reference “US 2014/0040028 — Marketplace for Service Provider Leads” cited in §3.2.1 of the original memorandum could not be verified in public search under that title. Counsel should not rely on that specific number; the lead-marketplace genus is established by the verified references above (US20120030054A1; US20160132948A1; US10,489,798). Confirm the exact family by professional search.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Current-law update to June 2026</w:t>
      </w:r>
    </w:p>
    <w:p>
      <w:pPr>
        <w:pStyle w:val="Heading2"/>
      </w:pPr>
      <w:r>
        <w:t>4.1 United States — §101 / Alice</w:t>
      </w:r>
    </w:p>
    <w:p>
      <w:pPr>
        <w:spacing w:after="120"/>
      </w:pPr>
      <w:r>
        <w:rPr>
          <w:b w:val="0"/>
          <w:i w:val="0"/>
          <w:sz w:val="21"/>
        </w:rPr>
        <w:t>The original memorandum’s §101 caution holds and is sharpened by 2025–26 developments. Three points require correction or addition to the record:</w:t>
      </w:r>
    </w:p>
    <w:p>
      <w:pPr>
        <w:pStyle w:val="ListBullet"/>
        <w:spacing w:after="60"/>
      </w:pPr>
      <w:r>
        <w:rPr>
          <w:sz w:val="21"/>
        </w:rPr>
        <w:t>The USPTO action of 28 November 2025 (90 FR 54636) rescinded the AI-INVENTORSHIP guidance — it did NOT touch the July 2024 §101 subject-matter eligibility update. The July 2024 update and Examples 47–49 REMAIN IN FORCE in 2026. Do not conflate the two; both nonetheless point the same way — less special solicitude for AI/software claims.</w:t>
      </w:r>
    </w:p>
    <w:p>
      <w:pPr>
        <w:pStyle w:val="ListBullet"/>
        <w:spacing w:after="60"/>
      </w:pPr>
      <w:r>
        <w:rPr>
          <w:sz w:val="21"/>
        </w:rPr>
        <w:t>Recentive Analytics v. Fox Corp., 134 F.4th 1205 (Fed. Cir. Apr. 2025) — the first dedicated machine-learning §101 holding: applying generic models to a new data environment is not a technological improvement, and accuracy/efficiency gains do not rescue an abstract idea. Directly adverse to any framing of Claim 9 as “classify the email with AI.”</w:t>
      </w:r>
    </w:p>
    <w:p>
      <w:pPr>
        <w:pStyle w:val="ListBullet"/>
        <w:spacing w:after="60"/>
      </w:pPr>
      <w:r>
        <w:rPr>
          <w:sz w:val="21"/>
        </w:rPr>
        <w:t>GoTV Streaming v. Netflix, No. 2024-1669 (Fed. Cir. 9 Feb 2026, precedential) and Innovaport v. Target, No. 2024-1545 (Fed. Cir. 6 Feb 2026) invalidated marketplace/UI software claims; courts are NOT required to defer to the grant. A thin prosecution record gives a court nothing at Alice step 2 — build a substantive technical specification.</w:t>
      </w:r>
    </w:p>
    <w:p>
      <w:pPr>
        <w:pStyle w:val="ListBullet"/>
        <w:spacing w:after="60"/>
      </w:pPr>
      <w:r>
        <w:rPr>
          <w:sz w:val="21"/>
        </w:rPr>
        <w:t>The 4 August 2025 USPTO examiner memo (don’t over-extend “mental process”; “recite” vs “involve”; reject only if ineligibility &gt; 50% likely) eases PROSECUTION but does not bind courts. PERA (S.1546 / H.R.3152, reintroduced 1 May 2025; Senate IP-subcommittee hearing 8 Oct 2025) is NOT law as of June 2026 and retains a business-method carve-out — do not rely on it.</w:t>
      </w:r>
    </w:p>
    <w:p>
      <w:pPr>
        <w:pStyle w:val="Heading2"/>
      </w:pPr>
      <w:r>
        <w:t>4.2 EPO — COMVIK / G 1/19</w:t>
      </w:r>
    </w:p>
    <w:p>
      <w:pPr>
        <w:spacing w:after="120"/>
      </w:pPr>
      <w:r>
        <w:rPr>
          <w:b w:val="0"/>
          <w:i w:val="0"/>
          <w:sz w:val="21"/>
        </w:rPr>
        <w:t>Unchanged in substance and now expressly applied: under COMVIK and the notional-business-person construct (T1463/11, CardinalCommerce), the currency, trust score, subscription tiers, founding boost, heritage overlay and the AI-classification-as-such are handed to the business person and DISREGARDED for inventive step. G 1/19 (2021) confirms a technical-sounding model basis is not itself technical. Inventive step must live in the technical residue — the existence/authentication gate (cf. T1658/15, merchant payment-authentication architecture), a properly-claimed atomic disclosure protocol, and specific data structures. Draft to those.</w:t>
      </w:r>
    </w:p>
    <w:p>
      <w:pPr>
        <w:pStyle w:val="Heading2"/>
      </w:pPr>
      <w:r>
        <w:t>4.3 South Africa</w:t>
      </w:r>
    </w:p>
    <w:p>
      <w:pPr>
        <w:spacing w:after="120"/>
      </w:pPr>
      <w:r>
        <w:rPr>
          <w:b w:val="0"/>
          <w:i w:val="0"/>
          <w:sz w:val="21"/>
        </w:rPr>
        <w:t>Confirmed: CIPC remains a non-examining depository — grant is near-automatic and does not validate the claims. No SA court has yet construed the computer-program exclusion; a court would borrow the UK Aerotel four-step and AT&amp;T/CVON signposts and EPO practice. CIPC has launched an opt-in substantive search-and-examination track (a moving target to monitor). Practical effect unchanged: treat the SA grant as a low-cost priority/marketing asset, not a tested right.</w:t>
      </w:r>
    </w:p>
    <w:p>
      <w:r>
        <w:br w:type="page"/>
      </w:r>
    </w:p>
    <w:p>
      <w:pPr>
        <w:pStyle w:val="Heading1"/>
      </w:pPr>
      <w:r>
        <w:t>5. Revised pre-filing claim strategy</w:t>
      </w:r>
    </w:p>
    <w:p>
      <w:pPr>
        <w:spacing w:after="120"/>
      </w:pPr>
      <w:r>
        <w:rPr>
          <w:b w:val="0"/>
          <w:i w:val="0"/>
          <w:sz w:val="21"/>
        </w:rPr>
        <w:t>This refines §8 of the original memorandum. The redrafts in the original §8.1–8.7 remain the recommended claim language; this supplement adjusts the claim HIERARCHY:</w:t>
      </w:r>
    </w:p>
    <w:p>
      <w:pPr>
        <w:pStyle w:val="ListNumber"/>
        <w:spacing w:after="60"/>
      </w:pPr>
      <w:r>
        <w:rPr>
          <w:sz w:val="21"/>
        </w:rPr>
        <w:t>File two independent claims: Claim 7 (integrated platform; inventive concept = one non-refundable buyer-paid currency gating both human introductions and AI services, policed by the existence gate) and Claim 2 (the bundle, with the corrected no-restitution recitation from the Erratum and the no-transfer-endpoint recitation).</w:t>
      </w:r>
    </w:p>
    <w:p>
      <w:pPr>
        <w:pStyle w:val="ListNumber"/>
        <w:spacing w:after="60"/>
      </w:pPr>
      <w:r>
        <w:rPr>
          <w:sz w:val="21"/>
        </w:rPr>
        <w:t>Demote Claims 1, 4, 5, 8, 9 to dependent claims with the technical limitations in original §8.1/§8.4/§8.5 and the new framings here. Each still contributes to combination novelty.</w:t>
      </w:r>
    </w:p>
    <w:p>
      <w:pPr>
        <w:pStyle w:val="ListNumber"/>
        <w:spacing w:after="60"/>
      </w:pPr>
      <w:r>
        <w:rPr>
          <w:sz w:val="21"/>
        </w:rPr>
        <w:t>Hold Claim 3 pending a read of Pingsby’s claims. If retained, recite a marketplace-specific atomic, leak-free disclosure protocol with an ordering/consistency guarantee (a technical mechanism), not a “reveal on mutual consent” business rule.</w:t>
      </w:r>
    </w:p>
    <w:p>
      <w:pPr>
        <w:pStyle w:val="ListNumber"/>
        <w:spacing w:after="60"/>
      </w:pPr>
      <w:r>
        <w:rPr>
          <w:sz w:val="21"/>
        </w:rPr>
        <w:t>Treat all business mechanics as field-of-use context. Recite steps that cannot be performed mentally (real-time external-API gating; atomic multi-party state transitions; metering/logging).</w:t>
      </w:r>
    </w:p>
    <w:p>
      <w:pPr>
        <w:pStyle w:val="Heading1"/>
      </w:pPr>
      <w:r>
        <w:t>6. NEW — Consumer Protection Act 68 of 2008, s63</w:t>
      </w:r>
    </w:p>
    <w:p>
      <w:pPr>
        <w:spacing w:after="120"/>
      </w:pPr>
      <w:r>
        <w:rPr>
          <w:b w:val="0"/>
          <w:i w:val="0"/>
          <w:sz w:val="21"/>
        </w:rPr>
        <w:t>The original memorandum addressed the Banks Act, FMA and NPS Act but not the Consumer Protection Act. The June 2026 review identifies s63 (prepaid certificates, credits and vouchers) as a MODERATE-HIGH exposure — the single most material regulatory issue now open. s63 establishes a consumer-property duty over prepaid value, a 3-year minimum validity, and (with s48/s51) an anti-forfeiture/unfairness standard.</w:t>
      </w:r>
    </w:p>
    <w:p>
      <w:pPr>
        <w:spacing w:after="120"/>
      </w:pPr>
      <w:r>
        <w:rPr>
          <w:b w:val="0"/>
          <w:i w:val="0"/>
          <w:sz w:val="21"/>
        </w:rPr>
        <w:t>Two product features are in tension with s63:</w:t>
      </w:r>
    </w:p>
    <w:p>
      <w:pPr>
        <w:pStyle w:val="ListBullet"/>
        <w:spacing w:after="60"/>
      </w:pPr>
      <w:r>
        <w:rPr>
          <w:sz w:val="21"/>
        </w:rPr>
        <w:t>The 24-month dormancy expiry of unspent (un-burned) Tuppence float is shorter than the statutory 3-year floor and is, on its face, a prohibited early forfeiture of the consumer’s property.</w:t>
      </w:r>
    </w:p>
    <w:p>
      <w:pPr>
        <w:pStyle w:val="ListBullet"/>
        <w:spacing w:after="60"/>
      </w:pPr>
      <w:r>
        <w:rPr>
          <w:sz w:val="21"/>
        </w:rPr>
        <w:t>A buyer who burns Tuppence and is then declined by the seller receives nothing — inviting an unfairness/forfeiture challenge under s48/s51 and the s63 property duty.</w:t>
      </w:r>
    </w:p>
    <w:p>
      <w:pPr>
        <w:spacing w:after="120"/>
      </w:pPr>
      <w:r>
        <w:rPr>
          <w:b w:val="0"/>
          <w:i w:val="0"/>
          <w:sz w:val="21"/>
        </w:rPr>
        <w:t>Critically, both are curable WITHOUT introducing any cash refund — preserving the strict cash non-refundability that is load-bearing for the commitment signal, the Banks Act position, and Claim 2 novelty (and which the client has instructed is non-negotiable):</w:t>
      </w:r>
    </w:p>
    <w:tbl>
      <w:tblPr>
        <w:tblW w:type="auto" w:w="0"/>
        <w:tblBorders>
          <w:top w:val="single" w:sz="6" w:space="0" w:color="CFD9E2"/>
          <w:left w:val="single" w:sz="6" w:space="0" w:color="CFD9E2"/>
          <w:bottom w:val="single" w:sz="6" w:space="0" w:color="CFD9E2"/>
          <w:right w:val="single" w:sz="6" w:space="0" w:color="CFD9E2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6F3EC"/>
          </w:tcPr>
          <w:p>
            <w:r>
              <w:rPr>
                <w:b/>
                <w:color w:val="3B7A57"/>
                <w:sz w:val="21"/>
              </w:rPr>
              <w:t>Recommended cures (preserve strict cash non-refundability):</w:t>
            </w:r>
            <w:r>
              <w:t xml:space="preserve">  —  </w:t>
            </w:r>
            <w:r>
              <w:rPr>
                <w:sz w:val="20"/>
              </w:rPr>
              <w:t>(1) Frame and disclose the Tuppence burn as payment for the matching/introduction SERVICE RENDERED AT THE MOMENT OF REQUEST — the request is delivered to and considered by the seller; a decline is an outcome, not non-delivery. (2) Extend dormancy expiry on the UNREDEEMED float to ≥ 36 months, or remove float expiry — this touches only unspent Tuppence, never the no-refund-on-burn rule.</w:t>
            </w:r>
          </w:p>
        </w:tc>
      </w:tr>
    </w:tbl>
    <w:p>
      <w:pPr>
        <w:spacing w:after="20"/>
      </w:pPr>
    </w:p>
    <w:tbl>
      <w:tblPr>
        <w:tblW w:type="auto" w:w="0"/>
        <w:tblBorders>
          <w:top w:val="single" w:sz="6" w:space="0" w:color="E6C577"/>
          <w:left w:val="single" w:sz="6" w:space="0" w:color="E6C577"/>
          <w:bottom w:val="single" w:sz="6" w:space="0" w:color="E6C577"/>
          <w:right w:val="single" w:sz="6" w:space="0" w:color="E6C577"/>
        </w:tblBorders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FF4E0"/>
          </w:tcPr>
          <w:p>
            <w:r>
              <w:rPr>
                <w:b/>
                <w:color w:val="9A6B00"/>
                <w:sz w:val="21"/>
              </w:rPr>
              <w:t>Counsel’s call, recommended against:</w:t>
            </w:r>
            <w:r>
              <w:t xml:space="preserve">  —  </w:t>
            </w:r>
            <w:r>
              <w:rPr>
                <w:sz w:val="20"/>
              </w:rPr>
              <w:t>Internal re-credit of Tuppence on decline would cure the CPA point but conflicts with the Erratum’s amended-Claim-2 positive recitation that NO restitution logic exists (load-bearing for C2 novelty and the Banks Act). The two cures above are preferred; they need no re-credit.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b w:val="0"/>
          <w:i w:val="0"/>
          <w:sz w:val="21"/>
        </w:rPr>
        <w:t>Action: add CPA s63 to the pre-filing checklist as a launch-blocking item; instruct SA consumer-law counsel to sign off the burn-as-service-rendered characterisation and the float-expiry extension before any paid Tuppence purchase is enabled in production.</w:t>
      </w:r>
    </w:p>
    <w:p>
      <w:pPr>
        <w:pStyle w:val="Heading1"/>
      </w:pPr>
      <w:r>
        <w:t>7. Regulatory items reaffirmed / monitored</w:t>
      </w:r>
    </w:p>
    <w:tbl>
      <w:tblPr>
        <w:tblW w:type="auto" w:w="0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F2F6FA"/>
            <w:tcW w:w="1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Instrument</w:t>
            </w:r>
          </w:p>
        </w:tc>
        <w:tc>
          <w:tcPr>
            <w:tcW w:type="dxa" w:w="3120"/>
            <w:shd w:val="clear" w:fill="F2F6FA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Rating</w:t>
            </w:r>
          </w:p>
        </w:tc>
        <w:tc>
          <w:tcPr>
            <w:tcW w:type="dxa" w:w="3120"/>
            <w:shd w:val="clear" w:fill="F2F6FA"/>
            <w:tcW w:w="6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2E5A88"/>
                <w:sz w:val="17"/>
              </w:rPr>
              <w:t>Position</w:t>
            </w:r>
          </w:p>
        </w:tc>
      </w:tr>
      <w:tr>
        <w:tc>
          <w:tcPr>
            <w:tcW w:type="dxa" w:w="3120"/>
            <w:tcW w:w="1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Banks Act 94/1990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NO RISK</w:t>
            </w:r>
          </w:p>
        </w:tc>
        <w:tc>
          <w:tcPr>
            <w:tcW w:type="dxa" w:w="3120"/>
            <w:tcW w:w="6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Reaffirmed (Erratum 2026-05-12). No repayment → no “deposit”. SARB Draft Payment Activities Exemption Notice (14 Nov 2025) closed-loop carve-out supports this. Preserve strict non-refundability.</w:t>
            </w:r>
          </w:p>
        </w:tc>
      </w:tr>
      <w:tr>
        <w:tc>
          <w:tcPr>
            <w:tcW w:type="dxa" w:w="3120"/>
            <w:tcW w:w="1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NPS Act 78/1998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9A6B00"/>
                <w:sz w:val="17"/>
              </w:rPr>
              <w:t>LOW</w:t>
            </w:r>
          </w:p>
        </w:tc>
        <w:tc>
          <w:tcPr>
            <w:tcW w:type="dxa" w:w="3120"/>
            <w:tcW w:w="6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Closed-loop, single-issuer, non-cash → outside the perimeter. Monitor: the SARB draft framework may require light-touch REGISTRATION (not a licence) of closed-loop schemes; the NPS Bill is pending.</w:t>
            </w:r>
          </w:p>
        </w:tc>
      </w:tr>
      <w:tr>
        <w:tc>
          <w:tcPr>
            <w:tcW w:type="dxa" w:w="3120"/>
            <w:tcW w:w="1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FSCA crypto / FAIS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3B7A57"/>
                <w:sz w:val="17"/>
              </w:rPr>
              <w:t>NO RISK</w:t>
            </w:r>
          </w:p>
        </w:tc>
        <w:tc>
          <w:tcPr>
            <w:tcW w:type="dxa" w:w="3120"/>
            <w:tcW w:w="6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GN 1350/2022 conjunctive test (DLT ∧ cryptographic ∧ tradeable) fails on all three legs. Monitor COFI Bill (Cabinet-approved Mar/Apr 2026).</w:t>
            </w:r>
          </w:p>
        </w:tc>
      </w:tr>
      <w:tr>
        <w:tc>
          <w:tcPr>
            <w:tcW w:type="dxa" w:w="3120"/>
            <w:tcW w:w="1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POPIA 4/2013</w:t>
            </w:r>
          </w:p>
        </w:tc>
        <w:tc>
          <w:tcPr>
            <w:tcW w:type="dxa" w:w="3120"/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b/>
                <w:color w:val="9A6B00"/>
                <w:sz w:val="17"/>
              </w:rPr>
              <w:t>LOW</w:t>
            </w:r>
          </w:p>
        </w:tc>
        <w:tc>
          <w:tcPr>
            <w:tcW w:type="dxa" w:w="3120"/>
            <w:tcW w:w="64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Ground the magic-link email and the 500-char triage body_preview in legitimate-interest/contract (s11(1)(b)/(f)), not consent. Apply s10 minimality, s26 special-category filtering, retention TTL; keep onboarding mail transactional (s69).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/>
          <w:i w:val="0"/>
          <w:sz w:val="20"/>
        </w:rPr>
        <w:t>— Ends —</w:t>
      </w:r>
    </w:p>
    <w:p>
      <w:pPr>
        <w:spacing w:after="120"/>
      </w:pPr>
      <w:r>
        <w:rPr>
          <w:b w:val="0"/>
          <w:i w:val="0"/>
          <w:sz w:val="21"/>
        </w:rPr>
        <w:t>Prepared by: Senior Patent Counsel — SA Software &amp; Platform IP Practice</w:t>
      </w:r>
    </w:p>
    <w:p>
      <w:pPr>
        <w:spacing w:after="120"/>
      </w:pPr>
      <w:r>
        <w:rPr>
          <w:b w:val="0"/>
          <w:i w:val="0"/>
          <w:sz w:val="21"/>
        </w:rPr>
        <w:t>Document reference: TS-PRE-FILING-2026-06-SUPP-v1  ·  Supplements TS-PRE-FILING-2026-05-12-v1 + Erratum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B"/>
        <w:sz w:val="16"/>
      </w:rPr>
      <w:t>Trustsquare (Pty) Ltd  |  Reg 2026/340128/07  |  Pre-Filing Supplement — June 2026  |  PRIVILEGED &amp; CONFIDENTIAL — ATTORNEY WORK PRODUCT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5A8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