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E5A88"/>
          <w:sz w:val="40"/>
        </w:rPr>
        <w:t>TrustSquare</w:t>
      </w:r>
    </w:p>
    <w:p>
      <w:pPr>
        <w:spacing w:after="40"/>
      </w:pPr>
      <w:r>
        <w:rPr>
          <w:rFonts w:ascii="Arial" w:hAnsi="Arial"/>
          <w:b/>
          <w:color w:val="1C2733"/>
          <w:sz w:val="24"/>
        </w:rPr>
        <w:t>Unified Participation Marketplace</w:t>
      </w:r>
    </w:p>
    <w:p>
      <w:pPr>
        <w:spacing w:after="40"/>
      </w:pPr>
      <w:r>
        <w:rPr>
          <w:rFonts w:ascii="Arial" w:hAnsi="Arial"/>
          <w:b w:val="0"/>
          <w:color w:val="5A6B7B"/>
          <w:sz w:val="22"/>
        </w:rPr>
        <w:t>Technical Whitepaper v3.4  —  Provisional Patent Document</w:t>
      </w:r>
    </w:p>
    <w:p>
      <w:pPr>
        <w:spacing w:after="40"/>
      </w:pPr>
      <w:r>
        <w:rPr>
          <w:rFonts w:ascii="Arial" w:hAnsi="Arial"/>
          <w:b w:val="0"/>
          <w:color w:val="5A6B7B"/>
          <w:sz w:val="20"/>
        </w:rPr>
        <w:t>Updated: June 2026  |  Trustsquare (Pty) Ltd  |  Reg 2026/340128/07</w:t>
      </w:r>
    </w:p>
    <w:p>
      <w:pPr>
        <w:spacing w:after="120"/>
      </w:pPr>
      <w:r>
        <w:rPr>
          <w:b/>
          <w:i w:val="0"/>
          <w:color w:val="B03A3A"/>
          <w:sz w:val="19"/>
        </w:rPr>
        <w:t>CONFIDENTIAL — Prior Art Disclosure</w:t>
      </w:r>
    </w:p>
    <w:p>
      <w:pPr>
        <w:pBdr>
          <w:bottom w:val="single" w:sz="6" w:space="1" w:color="2E5A88"/>
        </w:pBdr>
        <w:spacing w:after="80"/>
      </w:pPr>
    </w:p>
    <w:p>
      <w:pPr>
        <w:pStyle w:val="Heading1"/>
      </w:pPr>
      <w:r>
        <w:t>1. Executive Summary</w:t>
      </w:r>
    </w:p>
    <w:p>
      <w:pPr>
        <w:spacing w:after="120"/>
      </w:pPr>
      <w:r>
        <w:rPr>
          <w:b w:val="0"/>
          <w:i w:val="0"/>
          <w:sz w:val="21"/>
        </w:rPr>
        <w:t>TrustSquare is a mobile-first, privacy-preserving marketplace that enables buyers and sellers to transact anonymously until both parties consent to introduction. The platform introduces a novel participation currency (Tuppence) that functions simultaneously as a buyer commitment signal, a spam filter, and a seller quality metric. The Unified Participation Model — wherein every user is both a potential buyer and a potential seller — together with the commitment-gated anonymous introduction is the core patentable contribution; the strongest protection sits in the COMBINATION of these elements with the platform’s subscription, AI-services and guardrail layers (see §4).</w:t>
      </w:r>
    </w:p>
    <w:p>
      <w:pPr>
        <w:spacing w:after="120"/>
      </w:pPr>
      <w:r>
        <w:rPr>
          <w:b w:val="0"/>
          <w:i w:val="0"/>
          <w:sz w:val="21"/>
        </w:rPr>
        <w:t>This document constitutes a prior-art disclosure and supports a CIPC provisional patent application. All described methods, systems, and database schemas were conceived, designed and implemented by Trustsquare (Pty) Ltd.</w:t>
      </w:r>
    </w:p>
    <w:p>
      <w:pPr>
        <w:spacing w:after="120"/>
      </w:pPr>
      <w:r>
        <w:rPr>
          <w:b w:val="0"/>
          <w:i w:val="0"/>
          <w:sz w:val="21"/>
        </w:rPr>
        <w:t>The platform is live at trustsquare.co (BEA v1.3.4) with 56 live listings across Pretoria, South Africa, on a Hetzner CPX32 server.</w:t>
      </w:r>
    </w:p>
    <w:p>
      <w:pPr>
        <w:pStyle w:val="Heading1"/>
      </w:pPr>
      <w:r>
        <w:t>2. Problem Statement</w:t>
      </w:r>
    </w:p>
    <w:p>
      <w:pPr>
        <w:spacing w:after="120"/>
      </w:pPr>
      <w:r>
        <w:rPr>
          <w:b w:val="0"/>
          <w:i w:val="0"/>
          <w:sz w:val="21"/>
        </w:rPr>
        <w:t>Existing marketplace platforms suffer from three structural deficiencies:</w:t>
      </w:r>
    </w:p>
    <w:p>
      <w:pPr>
        <w:pStyle w:val="ListBullet"/>
        <w:spacing w:after="60"/>
      </w:pPr>
      <w:r>
        <w:rPr>
          <w:sz w:val="21"/>
        </w:rPr>
        <w:t>Asymmetric trust: buyers know who they are contacting; sellers receive cold inquiries with no quality signal.</w:t>
      </w:r>
    </w:p>
    <w:p>
      <w:pPr>
        <w:pStyle w:val="ListBullet"/>
        <w:spacing w:after="60"/>
      </w:pPr>
      <w:r>
        <w:rPr>
          <w:sz w:val="21"/>
        </w:rPr>
        <w:t>Advertising dependency: seller visibility is proportional to advertising spend, not competence or reputation.</w:t>
      </w:r>
    </w:p>
    <w:p>
      <w:pPr>
        <w:pStyle w:val="ListBullet"/>
        <w:spacing w:after="60"/>
      </w:pPr>
      <w:r>
        <w:rPr>
          <w:sz w:val="21"/>
        </w:rPr>
        <w:t>Identity exposure: sellers must publish personal contact details to be discoverable, creating phishing and spam surface.</w:t>
      </w:r>
    </w:p>
    <w:p>
      <w:pPr>
        <w:spacing w:after="120"/>
      </w:pPr>
      <w:r>
        <w:rPr>
          <w:b w:val="0"/>
          <w:i w:val="0"/>
          <w:sz w:val="21"/>
        </w:rPr>
        <w:t>No existing platform addresses all three simultaneously without reducing either buyer reach or seller discoverability. Notably, the dominant pay-to-contact marketplaces (e.g. Bark.com, Thumbtack) place the charge on the SELLER to receive a buyer lead; TrustSquare inverts this — the BUYER commits value to initiate contact — which realigns the spam-economic incentive and is reflected in the data model (the spending key is the buyer, not the seller).</w:t>
      </w:r>
    </w:p>
    <w:p>
      <w:pPr>
        <w:pStyle w:val="Heading1"/>
      </w:pPr>
      <w:r>
        <w:t>3. Technical Innovation</w:t>
      </w:r>
    </w:p>
    <w:p>
      <w:pPr>
        <w:pStyle w:val="Heading2"/>
      </w:pPr>
      <w:r>
        <w:t>3.1 Unified Participation Model — Database Implementation</w:t>
      </w:r>
    </w:p>
    <w:p>
      <w:pPr>
        <w:spacing w:after="120"/>
      </w:pPr>
      <w:r>
        <w:rPr>
          <w:b w:val="0"/>
          <w:i w:val="0"/>
          <w:sz w:val="21"/>
        </w:rPr>
        <w:t>The core innovation is a single-table user model where role is not a column — it is a state derived from the user’s activity:</w:t>
      </w:r>
    </w:p>
    <w:p>
      <w:pPr>
        <w:pStyle w:val="ListBullet"/>
        <w:spacing w:after="60"/>
      </w:pPr>
      <w:r>
        <w:rPr>
          <w:sz w:val="21"/>
        </w:rPr>
        <w:t>A user with no listings and Tuppence balance &gt; 0 is operating as a buyer.</w:t>
      </w:r>
    </w:p>
    <w:p>
      <w:pPr>
        <w:pStyle w:val="ListBullet"/>
        <w:spacing w:after="60"/>
      </w:pPr>
      <w:r>
        <w:rPr>
          <w:sz w:val="21"/>
        </w:rPr>
        <w:t>A user with at least one published listing is a seller.</w:t>
      </w:r>
    </w:p>
    <w:p>
      <w:pPr>
        <w:pStyle w:val="ListBullet"/>
        <w:spacing w:after="60"/>
      </w:pPr>
      <w:r>
        <w:rPr>
          <w:sz w:val="21"/>
        </w:rPr>
        <w:t>The same user may be both simultaneously.</w:t>
      </w:r>
    </w:p>
    <w:p>
      <w:pPr>
        <w:spacing w:after="120"/>
      </w:pPr>
      <w:r>
        <w:rPr>
          <w:b/>
          <w:i w:val="0"/>
          <w:sz w:val="21"/>
        </w:rPr>
        <w:t>Schema (illustrative):</w:t>
      </w:r>
    </w:p>
    <w:tbl>
      <w:tblPr>
        <w:tblW w:type="auto" w:w="0"/>
        <w:tblBorders>
          <w:top w:val="single" w:sz="6" w:space="0" w:color="CFD9E2"/>
          <w:left w:val="single" w:sz="6" w:space="0" w:color="CFD9E2"/>
          <w:bottom w:val="single" w:sz="6" w:space="0" w:color="CFD9E2"/>
          <w:right w:val="single" w:sz="6" w:space="0" w:color="CFD9E2"/>
        </w:tblBorders>
        <w:tblLook w:firstColumn="1" w:firstRow="1" w:lastColumn="0" w:lastRow="0" w:noHBand="0" w:noVBand="1" w:val="04A0"/>
      </w:tblPr>
      <w:tblGrid>
        <w:gridCol w:w="9360"/>
      </w:tblGrid>
      <w:tr>
        <w:tc>
          <w:tcPr>
            <w:tcW w:type="dxa" w:w="9360"/>
            <w:shd w:val="clear" w:fill="F5F8FB"/>
          </w:tcPr>
          <w:p>
            <w:r>
              <w:rPr>
                <w:sz w:val="20"/>
              </w:rPr>
              <w:t>users(id, email, name, tuppence_balance, trust_score, subscription_tier, slot_limit, photo_url, created_at) · listings(id, seller_email, category, city_id, suburb_id, status, trust_score) · introductions(id, buyer_email, listing_id, tuppence_cost, status, created_at) · tuppence_ledger(id, user_email, delta, reason, ref_id, created_at) · ai_spend_log(id, email, endpoint, model, est_cost_usd, logged_at) · ai_spend_config(id, monthly_income_usd, alert_threshold_pct, alert_email, last_alerted_at) · email_triage(id, from_addr, to_addr, subject, body_preview, category, urgency, draft_reply, status, message_id, received_at)</w:t>
            </w:r>
          </w:p>
        </w:tc>
      </w:tr>
    </w:tbl>
    <w:p>
      <w:pPr>
        <w:spacing w:after="20"/>
      </w:pPr>
    </w:p>
    <w:p>
      <w:pPr>
        <w:spacing w:after="120"/>
      </w:pPr>
      <w:r>
        <w:rPr>
          <w:b w:val="0"/>
          <w:i/>
          <w:sz w:val="21"/>
        </w:rPr>
        <w:t>Implementation note: role-derivation is most defensibly characterised by its technical effect — a user transitions between buyer and seller affordances with no schema-migration and no write to the user record. (Single-account, multi-role marketplaces are otherwise known art; the protected contribution is the runtime authorisation derivation and its place in the combination of §4.)</w:t>
      </w:r>
    </w:p>
    <w:p>
      <w:pPr>
        <w:pStyle w:val="Heading2"/>
      </w:pPr>
      <w:r>
        <w:t>3.2 Tuppence Micro-Currency</w:t>
      </w:r>
    </w:p>
    <w:p>
      <w:pPr>
        <w:spacing w:after="120"/>
      </w:pPr>
      <w:r>
        <w:rPr>
          <w:b w:val="0"/>
          <w:i w:val="0"/>
          <w:sz w:val="21"/>
        </w:rPr>
        <w:t>Tuppence is a non-transferable platform credit (1T = USD $2) with the following properties:</w:t>
      </w:r>
    </w:p>
    <w:p>
      <w:pPr>
        <w:pStyle w:val="ListBullet"/>
        <w:spacing w:after="60"/>
      </w:pPr>
      <w:r>
        <w:rPr>
          <w:sz w:val="21"/>
        </w:rPr>
        <w:t>Purchased in bundles by buyers; cannot be withdrawn as cash; non-transferable between users (no transfer endpoint exists).</w:t>
      </w:r>
    </w:p>
    <w:p>
      <w:pPr>
        <w:pStyle w:val="ListBullet"/>
        <w:spacing w:after="60"/>
      </w:pPr>
      <w:r>
        <w:rPr>
          <w:sz w:val="21"/>
        </w:rPr>
        <w:t>Burned on introduction request; non-refundable under any circumstance. The buyer commitment signal is the price of contact.</w:t>
      </w:r>
    </w:p>
    <w:p>
      <w:pPr>
        <w:pStyle w:val="ListBullet"/>
        <w:spacing w:after="60"/>
      </w:pPr>
      <w:r>
        <w:rPr>
          <w:sz w:val="21"/>
        </w:rPr>
        <w:t>Seller trust score is partially derived from introduction acceptance rate, creating a quality feedback loop.</w:t>
      </w:r>
    </w:p>
    <w:p>
      <w:pPr>
        <w:pStyle w:val="ListBullet"/>
        <w:spacing w:after="60"/>
      </w:pPr>
      <w:r>
        <w:rPr>
          <w:sz w:val="21"/>
        </w:rPr>
        <w:t>Zero marginal cost to issue; no regulatory classification as a financial instrument in ZA (Banks Act 94 of 1990: NO RISK — non-refundable closed-loop service credit; see Erratum 2026-05-12 and the SARB Draft Payment Activities Exemption Notice, 14 Nov 2025).</w:t>
      </w:r>
    </w:p>
    <w:p>
      <w:pPr>
        <w:spacing w:after="120"/>
      </w:pPr>
      <w:r>
        <w:rPr>
          <w:b w:val="0"/>
          <w:i w:val="0"/>
          <w:sz w:val="21"/>
        </w:rPr>
        <w:t>The Tuppence burn is consideration for the matching/introduction service rendered at the moment the request is made: the request is delivered to, and considered by, the seller. A subsequent seller decline is an outcome of that delivered service, not a non-delivery. Unspent (un-burned) Tuppence is a stored credit and remains the holder’s until redeemed; it does not expire before the consumer-protection minimum validity period. (These characterisations align the product with the Consumer Protection Act 68 of 2008 while preserving strict cash non-refundability.)</w:t>
      </w:r>
    </w:p>
    <w:p>
      <w:pPr>
        <w:spacing w:after="120"/>
      </w:pPr>
      <w:r>
        <w:rPr>
          <w:b w:val="0"/>
          <w:i w:val="0"/>
          <w:sz w:val="21"/>
        </w:rPr>
        <w:t>The introduction charge is categorically distinct from a referral fee, finder’s fee, or sales commission, and is the structural inverse of one on every axis: it is buyer-paid (not seller-paid); a fixed unit of value, never a percentage of price or transaction value; consumed before any introduction occurs; owed regardless of outcome (non-refundable even where no transaction results); and paid blind, into a state of mutual anonymity, before the buyer knows the seller’s identity. The anonymity (3.3) and the non-refundable pre-introduction commitment are mutually reinforcing and inseparable — the charge is novel because it is spent blind, and the anonymity carries commercial force because it is gated by an irreversible commitment. Strict non-refundability and the fixed character of the charge are load-bearing for the platform’s novelty.</w:t>
      </w:r>
    </w:p>
    <w:p>
      <w:pPr>
        <w:pStyle w:val="Heading2"/>
      </w:pPr>
      <w:r>
        <w:t>3.3 Anonymous Introduction Protocol</w:t>
      </w:r>
    </w:p>
    <w:p>
      <w:pPr>
        <w:spacing w:after="120"/>
      </w:pPr>
      <w:r>
        <w:rPr>
          <w:b w:val="0"/>
          <w:i w:val="0"/>
          <w:sz w:val="21"/>
        </w:rPr>
        <w:t>The introduction flow: (1) buyer browses anonymised seller profiles (no email, phone, or surname visible); (2) buyer spends Tuppence to request introduction; (3) seller receives a pseudonymised buyer summary; (4) seller accepts or declines; (5) on acceptance, both parties receive each other’s contact details simultaneously, as a single atomic disclosure event. Neither party’s contact information is ever stored on the other’s device prior to mutual consent; on decline, the introduction record terminates and no contact data is disclosed to either party.</w:t>
      </w:r>
    </w:p>
    <w:p>
      <w:pPr>
        <w:pStyle w:val="Heading2"/>
      </w:pPr>
      <w:r>
        <w:t>3.4 Trust Score Architecture</w:t>
      </w:r>
    </w:p>
    <w:p>
      <w:pPr>
        <w:spacing w:after="120"/>
      </w:pPr>
      <w:r>
        <w:rPr>
          <w:b w:val="0"/>
          <w:i w:val="0"/>
          <w:sz w:val="21"/>
        </w:rPr>
        <w:t>The Trust Score (0–100) is a weighted composite: verified credentials (30%); completed introductions / total accepted (25%); average buyer rating post-introduction (25%); response rate (10%); account tenure (10%). It is computed server-side and cannot be self-reported or self-modified by the seller.</w:t>
      </w:r>
    </w:p>
    <w:p>
      <w:pPr>
        <w:pStyle w:val="Heading2"/>
      </w:pPr>
      <w:r>
        <w:t>3.5 Subscription Tier Architecture</w:t>
      </w:r>
    </w:p>
    <w:p>
      <w:pPr>
        <w:spacing w:after="120"/>
      </w:pPr>
      <w:r>
        <w:rPr>
          <w:b w:val="0"/>
          <w:i w:val="0"/>
          <w:sz w:val="21"/>
        </w:rPr>
        <w:t>TrustSquare operates a five-tier subscription model tying listing slot limits to tier, enforced at publish time by the BEA:</w:t>
      </w:r>
    </w:p>
    <w:tbl>
      <w:tblPr>
        <w:tblW w:type="auto" w:w="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2340"/>
        <w:gridCol w:w="2340"/>
        <w:gridCol w:w="2340"/>
        <w:gridCol w:w="2340"/>
      </w:tblGrid>
      <w:tr>
        <w:tc>
          <w:tcPr>
            <w:tcW w:type="dxa" w:w="2340"/>
            <w:shd w:val="clear" w:fill="F2F6FA"/>
            <w:tcW w:w="1500" w:type="dxa"/>
            <w:tcMar>
              <w:top w:w="40" w:type="dxa"/>
              <w:bottom w:w="40" w:type="dxa"/>
              <w:left w:w="90" w:type="dxa"/>
              <w:right w:w="90" w:type="dxa"/>
            </w:tcMar>
          </w:tcPr>
          <w:p>
            <w:r>
              <w:rPr>
                <w:b/>
                <w:color w:val="2E5A88"/>
                <w:sz w:val="18"/>
              </w:rPr>
              <w:t>Tier</w:t>
            </w:r>
          </w:p>
        </w:tc>
        <w:tc>
          <w:tcPr>
            <w:tcW w:type="dxa" w:w="2340"/>
            <w:shd w:val="clear" w:fill="F2F6FA"/>
            <w:tcW w:w="1300" w:type="dxa"/>
            <w:tcMar>
              <w:top w:w="40" w:type="dxa"/>
              <w:bottom w:w="40" w:type="dxa"/>
              <w:left w:w="90" w:type="dxa"/>
              <w:right w:w="90" w:type="dxa"/>
            </w:tcMar>
          </w:tcPr>
          <w:p>
            <w:r>
              <w:rPr>
                <w:b/>
                <w:color w:val="2E5A88"/>
                <w:sz w:val="18"/>
              </w:rPr>
              <w:t>Price/mo</w:t>
            </w:r>
          </w:p>
        </w:tc>
        <w:tc>
          <w:tcPr>
            <w:tcW w:type="dxa" w:w="2340"/>
            <w:shd w:val="clear" w:fill="F2F6FA"/>
            <w:tcW w:w="1100" w:type="dxa"/>
            <w:tcMar>
              <w:top w:w="40" w:type="dxa"/>
              <w:bottom w:w="40" w:type="dxa"/>
              <w:left w:w="90" w:type="dxa"/>
              <w:right w:w="90" w:type="dxa"/>
            </w:tcMar>
          </w:tcPr>
          <w:p>
            <w:r>
              <w:rPr>
                <w:b/>
                <w:color w:val="2E5A88"/>
                <w:sz w:val="18"/>
              </w:rPr>
              <w:t>Slots</w:t>
            </w:r>
          </w:p>
        </w:tc>
        <w:tc>
          <w:tcPr>
            <w:tcW w:type="dxa" w:w="2340"/>
            <w:shd w:val="clear" w:fill="F2F6FA"/>
            <w:tcW w:w="5460" w:type="dxa"/>
            <w:tcMar>
              <w:top w:w="40" w:type="dxa"/>
              <w:bottom w:w="40" w:type="dxa"/>
              <w:left w:w="90" w:type="dxa"/>
              <w:right w:w="90" w:type="dxa"/>
            </w:tcMar>
          </w:tcPr>
          <w:p>
            <w:r>
              <w:rPr>
                <w:b/>
                <w:color w:val="2E5A88"/>
                <w:sz w:val="18"/>
              </w:rPr>
              <w:t>Notes</w:t>
            </w:r>
          </w:p>
        </w:tc>
      </w:tr>
      <w:tr>
        <w:tc>
          <w:tcPr>
            <w:tcW w:type="dxa" w:w="2340"/>
            <w:tcW w:w="1500" w:type="dxa"/>
            <w:tcMar>
              <w:top w:w="40" w:type="dxa"/>
              <w:bottom w:w="40" w:type="dxa"/>
              <w:left w:w="90" w:type="dxa"/>
              <w:right w:w="90" w:type="dxa"/>
            </w:tcMar>
          </w:tcPr>
          <w:p>
            <w:r>
              <w:rPr>
                <w:sz w:val="18"/>
              </w:rPr>
              <w:t>Free</w:t>
            </w:r>
          </w:p>
        </w:tc>
        <w:tc>
          <w:tcPr>
            <w:tcW w:type="dxa" w:w="2340"/>
            <w:tcW w:w="1300" w:type="dxa"/>
            <w:tcMar>
              <w:top w:w="40" w:type="dxa"/>
              <w:bottom w:w="40" w:type="dxa"/>
              <w:left w:w="90" w:type="dxa"/>
              <w:right w:w="90" w:type="dxa"/>
            </w:tcMar>
          </w:tcPr>
          <w:p>
            <w:r>
              <w:rPr>
                <w:sz w:val="18"/>
              </w:rPr>
              <w:t>$0</w:t>
            </w:r>
          </w:p>
        </w:tc>
        <w:tc>
          <w:tcPr>
            <w:tcW w:type="dxa" w:w="2340"/>
            <w:tcW w:w="1100" w:type="dxa"/>
            <w:tcMar>
              <w:top w:w="40" w:type="dxa"/>
              <w:bottom w:w="40" w:type="dxa"/>
              <w:left w:w="90" w:type="dxa"/>
              <w:right w:w="90" w:type="dxa"/>
            </w:tcMar>
          </w:tcPr>
          <w:p>
            <w:r>
              <w:rPr>
                <w:sz w:val="18"/>
              </w:rPr>
              <w:t>2</w:t>
            </w:r>
          </w:p>
        </w:tc>
        <w:tc>
          <w:tcPr>
            <w:tcW w:type="dxa" w:w="2340"/>
            <w:tcW w:w="5460" w:type="dxa"/>
            <w:tcMar>
              <w:top w:w="40" w:type="dxa"/>
              <w:bottom w:w="40" w:type="dxa"/>
              <w:left w:w="90" w:type="dxa"/>
              <w:right w:w="90" w:type="dxa"/>
            </w:tcMar>
          </w:tcPr>
          <w:p>
            <w:r>
              <w:rPr>
                <w:sz w:val="18"/>
              </w:rPr>
              <w:t>Suburb-level visibility. No card required.</w:t>
            </w:r>
          </w:p>
        </w:tc>
      </w:tr>
      <w:tr>
        <w:tc>
          <w:tcPr>
            <w:tcW w:type="dxa" w:w="2340"/>
            <w:tcW w:w="1500" w:type="dxa"/>
            <w:tcMar>
              <w:top w:w="40" w:type="dxa"/>
              <w:bottom w:w="40" w:type="dxa"/>
              <w:left w:w="90" w:type="dxa"/>
              <w:right w:w="90" w:type="dxa"/>
            </w:tcMar>
          </w:tcPr>
          <w:p>
            <w:r>
              <w:rPr>
                <w:sz w:val="18"/>
              </w:rPr>
              <w:t>Standard</w:t>
            </w:r>
          </w:p>
        </w:tc>
        <w:tc>
          <w:tcPr>
            <w:tcW w:type="dxa" w:w="2340"/>
            <w:tcW w:w="1300" w:type="dxa"/>
            <w:tcMar>
              <w:top w:w="40" w:type="dxa"/>
              <w:bottom w:w="40" w:type="dxa"/>
              <w:left w:w="90" w:type="dxa"/>
              <w:right w:w="90" w:type="dxa"/>
            </w:tcMar>
          </w:tcPr>
          <w:p>
            <w:r>
              <w:rPr>
                <w:sz w:val="18"/>
              </w:rPr>
              <w:t>$12</w:t>
            </w:r>
          </w:p>
        </w:tc>
        <w:tc>
          <w:tcPr>
            <w:tcW w:type="dxa" w:w="2340"/>
            <w:tcW w:w="1100" w:type="dxa"/>
            <w:tcMar>
              <w:top w:w="40" w:type="dxa"/>
              <w:bottom w:w="40" w:type="dxa"/>
              <w:left w:w="90" w:type="dxa"/>
              <w:right w:w="90" w:type="dxa"/>
            </w:tcMar>
          </w:tcPr>
          <w:p>
            <w:r>
              <w:rPr>
                <w:sz w:val="18"/>
              </w:rPr>
              <w:t>10</w:t>
            </w:r>
          </w:p>
        </w:tc>
        <w:tc>
          <w:tcPr>
            <w:tcW w:type="dxa" w:w="2340"/>
            <w:tcW w:w="5460" w:type="dxa"/>
            <w:tcMar>
              <w:top w:w="40" w:type="dxa"/>
              <w:bottom w:w="40" w:type="dxa"/>
              <w:left w:w="90" w:type="dxa"/>
              <w:right w:w="90" w:type="dxa"/>
            </w:tcMar>
          </w:tcPr>
          <w:p>
            <w:r>
              <w:rPr>
                <w:sz w:val="18"/>
              </w:rPr>
              <w:t>City-level. Individual sellers.</w:t>
            </w:r>
          </w:p>
        </w:tc>
      </w:tr>
      <w:tr>
        <w:tc>
          <w:tcPr>
            <w:tcW w:type="dxa" w:w="2340"/>
            <w:tcW w:w="1500" w:type="dxa"/>
            <w:tcMar>
              <w:top w:w="40" w:type="dxa"/>
              <w:bottom w:w="40" w:type="dxa"/>
              <w:left w:w="90" w:type="dxa"/>
              <w:right w:w="90" w:type="dxa"/>
            </w:tcMar>
          </w:tcPr>
          <w:p>
            <w:r>
              <w:rPr>
                <w:sz w:val="18"/>
              </w:rPr>
              <w:t>Professional</w:t>
            </w:r>
          </w:p>
        </w:tc>
        <w:tc>
          <w:tcPr>
            <w:tcW w:type="dxa" w:w="2340"/>
            <w:tcW w:w="1300" w:type="dxa"/>
            <w:tcMar>
              <w:top w:w="40" w:type="dxa"/>
              <w:bottom w:w="40" w:type="dxa"/>
              <w:left w:w="90" w:type="dxa"/>
              <w:right w:w="90" w:type="dxa"/>
            </w:tcMar>
          </w:tcPr>
          <w:p>
            <w:r>
              <w:rPr>
                <w:sz w:val="18"/>
              </w:rPr>
              <w:t>$20</w:t>
            </w:r>
          </w:p>
        </w:tc>
        <w:tc>
          <w:tcPr>
            <w:tcW w:type="dxa" w:w="2340"/>
            <w:tcW w:w="1100" w:type="dxa"/>
            <w:tcMar>
              <w:top w:w="40" w:type="dxa"/>
              <w:bottom w:w="40" w:type="dxa"/>
              <w:left w:w="90" w:type="dxa"/>
              <w:right w:w="90" w:type="dxa"/>
            </w:tcMar>
          </w:tcPr>
          <w:p>
            <w:r>
              <w:rPr>
                <w:sz w:val="18"/>
              </w:rPr>
              <w:t>25</w:t>
            </w:r>
          </w:p>
        </w:tc>
        <w:tc>
          <w:tcPr>
            <w:tcW w:type="dxa" w:w="2340"/>
            <w:tcW w:w="5460" w:type="dxa"/>
            <w:tcMar>
              <w:top w:w="40" w:type="dxa"/>
              <w:bottom w:w="40" w:type="dxa"/>
              <w:left w:w="90" w:type="dxa"/>
              <w:right w:w="90" w:type="dxa"/>
            </w:tcMar>
          </w:tcPr>
          <w:p>
            <w:r>
              <w:rPr>
                <w:sz w:val="18"/>
              </w:rPr>
              <w:t>City + region. Active agents.</w:t>
            </w:r>
          </w:p>
        </w:tc>
      </w:tr>
      <w:tr>
        <w:tc>
          <w:tcPr>
            <w:tcW w:type="dxa" w:w="2340"/>
            <w:tcW w:w="1500" w:type="dxa"/>
            <w:tcMar>
              <w:top w:w="40" w:type="dxa"/>
              <w:bottom w:w="40" w:type="dxa"/>
              <w:left w:w="90" w:type="dxa"/>
              <w:right w:w="90" w:type="dxa"/>
            </w:tcMar>
          </w:tcPr>
          <w:p>
            <w:r>
              <w:rPr>
                <w:sz w:val="18"/>
              </w:rPr>
              <w:t>Business</w:t>
            </w:r>
          </w:p>
        </w:tc>
        <w:tc>
          <w:tcPr>
            <w:tcW w:type="dxa" w:w="2340"/>
            <w:tcW w:w="1300" w:type="dxa"/>
            <w:tcMar>
              <w:top w:w="40" w:type="dxa"/>
              <w:bottom w:w="40" w:type="dxa"/>
              <w:left w:w="90" w:type="dxa"/>
              <w:right w:w="90" w:type="dxa"/>
            </w:tcMar>
          </w:tcPr>
          <w:p>
            <w:r>
              <w:rPr>
                <w:sz w:val="18"/>
              </w:rPr>
              <w:t>$40</w:t>
            </w:r>
          </w:p>
        </w:tc>
        <w:tc>
          <w:tcPr>
            <w:tcW w:type="dxa" w:w="2340"/>
            <w:tcW w:w="1100" w:type="dxa"/>
            <w:tcMar>
              <w:top w:w="40" w:type="dxa"/>
              <w:bottom w:w="40" w:type="dxa"/>
              <w:left w:w="90" w:type="dxa"/>
              <w:right w:w="90" w:type="dxa"/>
            </w:tcMar>
          </w:tcPr>
          <w:p>
            <w:r>
              <w:rPr>
                <w:sz w:val="18"/>
              </w:rPr>
              <w:t>60</w:t>
            </w:r>
          </w:p>
        </w:tc>
        <w:tc>
          <w:tcPr>
            <w:tcW w:type="dxa" w:w="2340"/>
            <w:tcW w:w="5460" w:type="dxa"/>
            <w:tcMar>
              <w:top w:w="40" w:type="dxa"/>
              <w:bottom w:w="40" w:type="dxa"/>
              <w:left w:w="90" w:type="dxa"/>
              <w:right w:w="90" w:type="dxa"/>
            </w:tcMar>
          </w:tcPr>
          <w:p>
            <w:r>
              <w:rPr>
                <w:sz w:val="18"/>
              </w:rPr>
              <w:t>Country-level. Estate agencies.</w:t>
            </w:r>
          </w:p>
        </w:tc>
      </w:tr>
      <w:tr>
        <w:tc>
          <w:tcPr>
            <w:tcW w:type="dxa" w:w="2340"/>
            <w:tcW w:w="1500" w:type="dxa"/>
            <w:tcMar>
              <w:top w:w="40" w:type="dxa"/>
              <w:bottom w:w="40" w:type="dxa"/>
              <w:left w:w="90" w:type="dxa"/>
              <w:right w:w="90" w:type="dxa"/>
            </w:tcMar>
          </w:tcPr>
          <w:p>
            <w:r>
              <w:rPr>
                <w:sz w:val="18"/>
              </w:rPr>
              <w:t>Elite</w:t>
            </w:r>
          </w:p>
        </w:tc>
        <w:tc>
          <w:tcPr>
            <w:tcW w:type="dxa" w:w="2340"/>
            <w:tcW w:w="1300" w:type="dxa"/>
            <w:tcMar>
              <w:top w:w="40" w:type="dxa"/>
              <w:bottom w:w="40" w:type="dxa"/>
              <w:left w:w="90" w:type="dxa"/>
              <w:right w:w="90" w:type="dxa"/>
            </w:tcMar>
          </w:tcPr>
          <w:p>
            <w:r>
              <w:rPr>
                <w:sz w:val="18"/>
              </w:rPr>
              <w:t>$100</w:t>
            </w:r>
          </w:p>
        </w:tc>
        <w:tc>
          <w:tcPr>
            <w:tcW w:type="dxa" w:w="2340"/>
            <w:tcW w:w="1100" w:type="dxa"/>
            <w:tcMar>
              <w:top w:w="40" w:type="dxa"/>
              <w:bottom w:w="40" w:type="dxa"/>
              <w:left w:w="90" w:type="dxa"/>
              <w:right w:w="90" w:type="dxa"/>
            </w:tcMar>
          </w:tcPr>
          <w:p>
            <w:r>
              <w:rPr>
                <w:sz w:val="18"/>
              </w:rPr>
              <w:t>500</w:t>
            </w:r>
          </w:p>
        </w:tc>
        <w:tc>
          <w:tcPr>
            <w:tcW w:type="dxa" w:w="2340"/>
            <w:tcW w:w="5460" w:type="dxa"/>
            <w:tcMar>
              <w:top w:w="40" w:type="dxa"/>
              <w:bottom w:w="40" w:type="dxa"/>
              <w:left w:w="90" w:type="dxa"/>
              <w:right w:w="90" w:type="dxa"/>
            </w:tcMar>
          </w:tcPr>
          <w:p>
            <w:r>
              <w:rPr>
                <w:sz w:val="18"/>
              </w:rPr>
              <w:t>Unlimited. Portfolio landlords, franchises.</w:t>
            </w:r>
          </w:p>
        </w:tc>
      </w:tr>
    </w:tbl>
    <w:p>
      <w:pPr>
        <w:spacing w:after="120"/>
      </w:pPr>
      <w:r>
        <w:rPr>
          <w:b w:val="0"/>
          <w:i w:val="0"/>
          <w:sz w:val="21"/>
        </w:rPr>
      </w:r>
    </w:p>
    <w:p>
      <w:pPr>
        <w:spacing w:after="120"/>
      </w:pPr>
      <w:r>
        <w:rPr>
          <w:b w:val="0"/>
          <w:i w:val="0"/>
          <w:sz w:val="21"/>
        </w:rPr>
        <w:t>Downgrades are queued to end-of-billing-period; a seller cannot downgrade below their active listing count. Slot enforcement is server-side at publish time (HTTP 402 on breach). Tuppence per-introduction cost is architecturally separate from listing slot cost.</w:t>
      </w:r>
    </w:p>
    <w:p>
      <w:pPr>
        <w:pStyle w:val="Heading2"/>
      </w:pPr>
      <w:r>
        <w:t>3.6 AI Services Layer</w:t>
      </w:r>
    </w:p>
    <w:p>
      <w:pPr>
        <w:spacing w:after="120"/>
      </w:pPr>
      <w:r>
        <w:rPr>
          <w:b w:val="0"/>
          <w:i w:val="0"/>
          <w:sz w:val="21"/>
        </w:rPr>
        <w:t>A suite of AI-powered services accessible to registered users via Tuppence micro-payments — a third revenue stream alongside subscriptions and introductions. Ten services (AI1–AI10): Listing Rewrite (1T), Seller Audit (1T), Price Check (1T), Yield Calculator (1T), Batch Card Listings (2T, vision), Batch Coin Listings (2T, vision), Portfolio Import (3T, vision), Activity Log (free), Financial Statement (1T), Monthly Report (1T*). The same non-refundable commitment currency thus gates BOTH human introductions and machine services — a single-currency dual-use architecture.</w:t>
      </w:r>
    </w:p>
    <w:p>
      <w:pPr>
        <w:pStyle w:val="Heading2"/>
      </w:pPr>
      <w:r>
        <w:t>3.7 AI Guardrail Architecture</w:t>
      </w:r>
    </w:p>
    <w:p>
      <w:pPr>
        <w:spacing w:after="120"/>
      </w:pPr>
      <w:r>
        <w:rPr>
          <w:b w:val="0"/>
          <w:i w:val="0"/>
          <w:sz w:val="21"/>
        </w:rPr>
        <w:t>All AI endpoints are protected by an existence gate: an indexed database lookup confirms the requesting email corresponds to a registered user before any Anthropic API call is made. Unknown emails receive HTTP 401. The gate adds ~0.1ms latency and has no user-visible impact for legitimate users. Characterised technically, the existence gate is an access-control and metering mechanism that conditions invocation of an external model service — the platform’s strongest technical contribution. A non-blocking spend register records every AI call (email, endpoint, model, estimated USD cost) via a FastAPI BackgroundTasks task; an income-linked threshold alert fires at most once per day when monthly AI spend crosses a configurable percentage of platform income, and never throttles a user request.</w:t>
      </w:r>
    </w:p>
    <w:p>
      <w:pPr>
        <w:pStyle w:val="Heading2"/>
      </w:pPr>
      <w:r>
        <w:t>3.8 World Heritage Content Layer</w:t>
      </w:r>
    </w:p>
    <w:p>
      <w:pPr>
        <w:spacing w:after="120"/>
      </w:pPr>
      <w:r>
        <w:rPr>
          <w:b w:val="0"/>
          <w:i w:val="0"/>
          <w:sz w:val="21"/>
        </w:rPr>
        <w:t>The protectable concept is the METHOD: seller-linked structured place-metadata surfaced to buyers as a non-transactional informational overlay on an anonymous listing, together with an automatic proximity-and-category linker. The corpus size, data source and link cap are current implementation details, not limitations of the method. As implemented, a structured content layer holds heritage/place sites (a Wikimedia-sourced corpus — UNESCO World Heritage, national parks, museums, archaeological sites); sellers may link relevant sites, and an automatic linker (auto_link_wonders) suggests contextually relevant sites by location and category while preserving seller-set links. Imagery is served from Wikimedia Commons under CC/Public-Domain licence with per-record attribution. No heritage content is transactional.</w:t>
      </w:r>
    </w:p>
    <w:p>
      <w:pPr>
        <w:pStyle w:val="Heading2"/>
      </w:pPr>
      <w:r>
        <w:t>3.9 AI-Mediated Inbound Communication Triage</w:t>
      </w:r>
    </w:p>
    <w:p>
      <w:pPr>
        <w:spacing w:after="120"/>
      </w:pPr>
      <w:r>
        <w:rPr>
          <w:b w:val="0"/>
          <w:i w:val="0"/>
          <w:sz w:val="21"/>
        </w:rPr>
        <w:t>TrustSquare operates an autonomous inbound-email triage and conditional-response system for its customer-facing mailboxes, extending the AI-services and AI-guardrail architecture to customer communication. Inbound mail is received by a Cloudflare Email Worker, parsed (postal-mime), and POSTed to a backend endpoint (POST /email/inbound) authenticated by a shared secret header (X-Inbound-Secret); unauthenticated requests receive HTTP 401, and the endpoint refuses all calls (HTTP 503) when the secret is unconfigured. A safety-net copy is forwarded to a human inbox; the worker never bounces mail.</w:t>
      </w:r>
    </w:p>
    <w:p>
      <w:pPr>
        <w:spacing w:after="120"/>
      </w:pPr>
      <w:r>
        <w:rPr>
          <w:b w:val="0"/>
          <w:i w:val="0"/>
          <w:sz w:val="21"/>
        </w:rPr>
        <w:t>The backend invokes Claude Haiku under a constrained system prompt returning strict JSON {category, urgency, draft_reply, auto_safe}. The prompt encodes platform invariants directly — never reveal seller identities or internal data, and never promise refunds because Tuppence is strictly non-refundable. Any parse/API failure falls back to a safe default (category ‘other’, auto_safe false) and never raises. A reply is auto-sent only when ALL hold conjunctively: operator flag EMAIL_AUTO_SEND=1; a configured sending credential; model auto_safe=true; category within the allow-list {support, billing}; and a non-empty draft. Default is draft-only. Legal, compliance, disputes, threats and ambiguous mail are always held as drafts; spam is skipped. Every message is persisted to an email_triage audit table.</w:t>
      </w:r>
    </w:p>
    <w:p>
      <w:pPr>
        <w:spacing w:after="120"/>
      </w:pPr>
      <w:r>
        <w:rPr>
          <w:b w:val="0"/>
          <w:i/>
          <w:sz w:val="21"/>
        </w:rPr>
        <w:t>Disclosure note: conjunctive AI-auto-send guardrails of this kind are increasingly common in customer-support tooling. TrustSquare’s specific contribution within the combination is the encoding of the platform’s anonymity and strict-non-refundability invariants directly into the model response constraints, behind a secret-authenticated ingestion gate consistent with the existence-gate design of 3.7.</w:t>
      </w:r>
    </w:p>
    <w:p>
      <w:r>
        <w:br w:type="page"/>
      </w:r>
    </w:p>
    <w:p>
      <w:pPr>
        <w:pStyle w:val="Heading1"/>
      </w:pPr>
      <w:r>
        <w:t>4. Patent Claims</w:t>
      </w:r>
    </w:p>
    <w:tbl>
      <w:tblPr>
        <w:tblW w:type="auto" w:w="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120"/>
        <w:gridCol w:w="3120"/>
        <w:gridCol w:w="3120"/>
      </w:tblGrid>
      <w:tr>
        <w:tc>
          <w:tcPr>
            <w:tcW w:type="dxa" w:w="3120"/>
            <w:shd w:val="clear" w:fill="F2F6FA"/>
            <w:tcW w:w="1100" w:type="dxa"/>
            <w:tcMar>
              <w:top w:w="40" w:type="dxa"/>
              <w:bottom w:w="40" w:type="dxa"/>
              <w:left w:w="90" w:type="dxa"/>
              <w:right w:w="90" w:type="dxa"/>
            </w:tcMar>
          </w:tcPr>
          <w:p>
            <w:r>
              <w:rPr>
                <w:b/>
                <w:color w:val="2E5A88"/>
                <w:sz w:val="17"/>
              </w:rPr>
              <w:t>Claim</w:t>
            </w:r>
          </w:p>
        </w:tc>
        <w:tc>
          <w:tcPr>
            <w:tcW w:type="dxa" w:w="3120"/>
            <w:shd w:val="clear" w:fill="F2F6FA"/>
            <w:tcW w:w="2300" w:type="dxa"/>
            <w:tcMar>
              <w:top w:w="40" w:type="dxa"/>
              <w:bottom w:w="40" w:type="dxa"/>
              <w:left w:w="90" w:type="dxa"/>
              <w:right w:w="90" w:type="dxa"/>
            </w:tcMar>
          </w:tcPr>
          <w:p>
            <w:r>
              <w:rPr>
                <w:b/>
                <w:color w:val="2E5A88"/>
                <w:sz w:val="17"/>
              </w:rPr>
              <w:t>Title</w:t>
            </w:r>
          </w:p>
        </w:tc>
        <w:tc>
          <w:tcPr>
            <w:tcW w:type="dxa" w:w="3120"/>
            <w:shd w:val="clear" w:fill="F2F6FA"/>
            <w:tcW w:w="5960" w:type="dxa"/>
            <w:tcMar>
              <w:top w:w="40" w:type="dxa"/>
              <w:bottom w:w="40" w:type="dxa"/>
              <w:left w:w="90" w:type="dxa"/>
              <w:right w:w="90" w:type="dxa"/>
            </w:tcMar>
          </w:tcPr>
          <w:p>
            <w:r>
              <w:rPr>
                <w:b/>
                <w:color w:val="2E5A88"/>
                <w:sz w:val="17"/>
              </w:rPr>
              <w:t>Summary</w:t>
            </w:r>
          </w:p>
        </w:tc>
      </w:tr>
      <w:tr>
        <w:tc>
          <w:tcPr>
            <w:tcW w:type="dxa" w:w="3120"/>
            <w:tcW w:w="1100" w:type="dxa"/>
            <w:tcMar>
              <w:top w:w="40" w:type="dxa"/>
              <w:bottom w:w="40" w:type="dxa"/>
              <w:left w:w="90" w:type="dxa"/>
              <w:right w:w="90" w:type="dxa"/>
            </w:tcMar>
          </w:tcPr>
          <w:p>
            <w:r>
              <w:rPr>
                <w:sz w:val="17"/>
              </w:rPr>
              <w:t>Claim 1</w:t>
            </w:r>
          </w:p>
        </w:tc>
        <w:tc>
          <w:tcPr>
            <w:tcW w:type="dxa" w:w="3120"/>
            <w:tcW w:w="2300" w:type="dxa"/>
            <w:tcMar>
              <w:top w:w="40" w:type="dxa"/>
              <w:bottom w:w="40" w:type="dxa"/>
              <w:left w:w="90" w:type="dxa"/>
              <w:right w:w="90" w:type="dxa"/>
            </w:tcMar>
          </w:tcPr>
          <w:p>
            <w:r>
              <w:rPr>
                <w:sz w:val="17"/>
              </w:rPr>
              <w:t>Unified Participation Model</w:t>
            </w:r>
          </w:p>
        </w:tc>
        <w:tc>
          <w:tcPr>
            <w:tcW w:type="dxa" w:w="3120"/>
            <w:tcW w:w="5960" w:type="dxa"/>
            <w:tcMar>
              <w:top w:w="40" w:type="dxa"/>
              <w:bottom w:w="40" w:type="dxa"/>
              <w:left w:w="90" w:type="dxa"/>
              <w:right w:w="90" w:type="dxa"/>
            </w:tcMar>
          </w:tcPr>
          <w:p>
            <w:r>
              <w:rPr>
                <w:sz w:val="17"/>
              </w:rPr>
              <w:t>Role derived from transaction state, not a database column. Single user table; buyer/seller status emerges from activity. (Protected within the combination of Claim 7.)</w:t>
            </w:r>
          </w:p>
        </w:tc>
      </w:tr>
      <w:tr>
        <w:tc>
          <w:tcPr>
            <w:tcW w:type="dxa" w:w="3120"/>
            <w:tcW w:w="1100" w:type="dxa"/>
            <w:tcMar>
              <w:top w:w="40" w:type="dxa"/>
              <w:bottom w:w="40" w:type="dxa"/>
              <w:left w:w="90" w:type="dxa"/>
              <w:right w:w="90" w:type="dxa"/>
            </w:tcMar>
          </w:tcPr>
          <w:p>
            <w:r>
              <w:rPr>
                <w:sz w:val="17"/>
              </w:rPr>
              <w:t>Claim 2</w:t>
            </w:r>
          </w:p>
        </w:tc>
        <w:tc>
          <w:tcPr>
            <w:tcW w:type="dxa" w:w="3120"/>
            <w:tcW w:w="2300" w:type="dxa"/>
            <w:tcMar>
              <w:top w:w="40" w:type="dxa"/>
              <w:bottom w:w="40" w:type="dxa"/>
              <w:left w:w="90" w:type="dxa"/>
              <w:right w:w="90" w:type="dxa"/>
            </w:tcMar>
          </w:tcPr>
          <w:p>
            <w:r>
              <w:rPr>
                <w:sz w:val="17"/>
              </w:rPr>
              <w:t>Tuppence Introduction Currency</w:t>
            </w:r>
          </w:p>
        </w:tc>
        <w:tc>
          <w:tcPr>
            <w:tcW w:type="dxa" w:w="3120"/>
            <w:tcW w:w="5960" w:type="dxa"/>
            <w:tcMar>
              <w:top w:w="40" w:type="dxa"/>
              <w:bottom w:w="40" w:type="dxa"/>
              <w:left w:w="90" w:type="dxa"/>
              <w:right w:w="90" w:type="dxa"/>
            </w:tcMar>
          </w:tcPr>
          <w:p>
            <w:r>
              <w:rPr>
                <w:sz w:val="17"/>
              </w:rPr>
              <w:t>Non-transferable, non-refundable commitment signal. Buyer-paid, fixed (not a % of price/value), pre-introduction, outcome-independent, paid blind into anonymity — the structural inverse of a referral/commission fee. Spam filter + commitment signal + seller-quality input.</w:t>
            </w:r>
          </w:p>
        </w:tc>
      </w:tr>
      <w:tr>
        <w:tc>
          <w:tcPr>
            <w:tcW w:type="dxa" w:w="3120"/>
            <w:tcW w:w="1100" w:type="dxa"/>
            <w:tcMar>
              <w:top w:w="40" w:type="dxa"/>
              <w:bottom w:w="40" w:type="dxa"/>
              <w:left w:w="90" w:type="dxa"/>
              <w:right w:w="90" w:type="dxa"/>
            </w:tcMar>
          </w:tcPr>
          <w:p>
            <w:r>
              <w:rPr>
                <w:sz w:val="17"/>
              </w:rPr>
              <w:t>Claim 3</w:t>
            </w:r>
          </w:p>
        </w:tc>
        <w:tc>
          <w:tcPr>
            <w:tcW w:type="dxa" w:w="3120"/>
            <w:tcW w:w="2300" w:type="dxa"/>
            <w:tcMar>
              <w:top w:w="40" w:type="dxa"/>
              <w:bottom w:w="40" w:type="dxa"/>
              <w:left w:w="90" w:type="dxa"/>
              <w:right w:w="90" w:type="dxa"/>
            </w:tcMar>
          </w:tcPr>
          <w:p>
            <w:r>
              <w:rPr>
                <w:sz w:val="17"/>
              </w:rPr>
              <w:t>Anonymous Introduction Protocol</w:t>
            </w:r>
          </w:p>
        </w:tc>
        <w:tc>
          <w:tcPr>
            <w:tcW w:type="dxa" w:w="3120"/>
            <w:tcW w:w="5960" w:type="dxa"/>
            <w:tcMar>
              <w:top w:w="40" w:type="dxa"/>
              <w:bottom w:w="40" w:type="dxa"/>
              <w:left w:w="90" w:type="dxa"/>
              <w:right w:w="90" w:type="dxa"/>
            </w:tcMar>
          </w:tcPr>
          <w:p>
            <w:r>
              <w:rPr>
                <w:sz w:val="17"/>
              </w:rPr>
              <w:t>No PII transmitted until bilateral consent; identity unlocks simultaneously, atomically, on mutual acceptance.</w:t>
            </w:r>
          </w:p>
        </w:tc>
      </w:tr>
      <w:tr>
        <w:tc>
          <w:tcPr>
            <w:tcW w:type="dxa" w:w="3120"/>
            <w:tcW w:w="1100" w:type="dxa"/>
            <w:tcMar>
              <w:top w:w="40" w:type="dxa"/>
              <w:bottom w:w="40" w:type="dxa"/>
              <w:left w:w="90" w:type="dxa"/>
              <w:right w:w="90" w:type="dxa"/>
            </w:tcMar>
          </w:tcPr>
          <w:p>
            <w:r>
              <w:rPr>
                <w:sz w:val="17"/>
              </w:rPr>
              <w:t>Claim 4</w:t>
            </w:r>
          </w:p>
        </w:tc>
        <w:tc>
          <w:tcPr>
            <w:tcW w:type="dxa" w:w="3120"/>
            <w:tcW w:w="2300" w:type="dxa"/>
            <w:tcMar>
              <w:top w:w="40" w:type="dxa"/>
              <w:bottom w:w="40" w:type="dxa"/>
              <w:left w:w="90" w:type="dxa"/>
              <w:right w:w="90" w:type="dxa"/>
            </w:tcMar>
          </w:tcPr>
          <w:p>
            <w:r>
              <w:rPr>
                <w:sz w:val="17"/>
              </w:rPr>
              <w:t>Trust Score Composite</w:t>
            </w:r>
          </w:p>
        </w:tc>
        <w:tc>
          <w:tcPr>
            <w:tcW w:type="dxa" w:w="3120"/>
            <w:tcW w:w="5960" w:type="dxa"/>
            <w:tcMar>
              <w:top w:w="40" w:type="dxa"/>
              <w:bottom w:w="40" w:type="dxa"/>
              <w:left w:w="90" w:type="dxa"/>
              <w:right w:w="90" w:type="dxa"/>
            </w:tcMar>
          </w:tcPr>
          <w:p>
            <w:r>
              <w:rPr>
                <w:sz w:val="17"/>
              </w:rPr>
              <w:t>Server-computed from verifiable data only; no self-reporting.</w:t>
            </w:r>
          </w:p>
        </w:tc>
      </w:tr>
      <w:tr>
        <w:tc>
          <w:tcPr>
            <w:tcW w:type="dxa" w:w="3120"/>
            <w:tcW w:w="1100" w:type="dxa"/>
            <w:tcMar>
              <w:top w:w="40" w:type="dxa"/>
              <w:bottom w:w="40" w:type="dxa"/>
              <w:left w:w="90" w:type="dxa"/>
              <w:right w:w="90" w:type="dxa"/>
            </w:tcMar>
          </w:tcPr>
          <w:p>
            <w:r>
              <w:rPr>
                <w:sz w:val="17"/>
              </w:rPr>
              <w:t>Claim 5</w:t>
            </w:r>
          </w:p>
        </w:tc>
        <w:tc>
          <w:tcPr>
            <w:tcW w:type="dxa" w:w="3120"/>
            <w:tcW w:w="2300" w:type="dxa"/>
            <w:tcMar>
              <w:top w:w="40" w:type="dxa"/>
              <w:bottom w:w="40" w:type="dxa"/>
              <w:left w:w="90" w:type="dxa"/>
              <w:right w:w="90" w:type="dxa"/>
            </w:tcMar>
          </w:tcPr>
          <w:p>
            <w:r>
              <w:rPr>
                <w:sz w:val="17"/>
              </w:rPr>
              <w:t>Geo-Hierarchical Visibility</w:t>
            </w:r>
          </w:p>
        </w:tc>
        <w:tc>
          <w:tcPr>
            <w:tcW w:type="dxa" w:w="3120"/>
            <w:tcW w:w="5960" w:type="dxa"/>
            <w:tcMar>
              <w:top w:w="40" w:type="dxa"/>
              <w:bottom w:w="40" w:type="dxa"/>
              <w:left w:w="90" w:type="dxa"/>
              <w:right w:w="90" w:type="dxa"/>
            </w:tcMar>
          </w:tcPr>
          <w:p>
            <w:r>
              <w:rPr>
                <w:sz w:val="17"/>
              </w:rPr>
              <w:t>4-level hierarchy gated by subscription tier.</w:t>
            </w:r>
          </w:p>
        </w:tc>
      </w:tr>
      <w:tr>
        <w:tc>
          <w:tcPr>
            <w:tcW w:type="dxa" w:w="3120"/>
            <w:tcW w:w="1100" w:type="dxa"/>
            <w:tcMar>
              <w:top w:w="40" w:type="dxa"/>
              <w:bottom w:w="40" w:type="dxa"/>
              <w:left w:w="90" w:type="dxa"/>
              <w:right w:w="90" w:type="dxa"/>
            </w:tcMar>
          </w:tcPr>
          <w:p>
            <w:r>
              <w:rPr>
                <w:sz w:val="17"/>
              </w:rPr>
              <w:t>Claim 6</w:t>
            </w:r>
          </w:p>
        </w:tc>
        <w:tc>
          <w:tcPr>
            <w:tcW w:type="dxa" w:w="3120"/>
            <w:tcW w:w="2300" w:type="dxa"/>
            <w:tcMar>
              <w:top w:w="40" w:type="dxa"/>
              <w:bottom w:w="40" w:type="dxa"/>
              <w:left w:w="90" w:type="dxa"/>
              <w:right w:w="90" w:type="dxa"/>
            </w:tcMar>
          </w:tcPr>
          <w:p>
            <w:r>
              <w:rPr>
                <w:sz w:val="17"/>
              </w:rPr>
              <w:t>Founding Seller Cohort</w:t>
            </w:r>
          </w:p>
        </w:tc>
        <w:tc>
          <w:tcPr>
            <w:tcW w:type="dxa" w:w="3120"/>
            <w:tcW w:w="5960" w:type="dxa"/>
            <w:tcMar>
              <w:top w:w="40" w:type="dxa"/>
              <w:bottom w:w="40" w:type="dxa"/>
              <w:left w:w="90" w:type="dxa"/>
              <w:right w:w="90" w:type="dxa"/>
            </w:tcMar>
          </w:tcPr>
          <w:p>
            <w:r>
              <w:rPr>
                <w:sz w:val="17"/>
              </w:rPr>
              <w:t>Cold-start priority placement for the initial per-city cohort.</w:t>
            </w:r>
          </w:p>
        </w:tc>
      </w:tr>
      <w:tr>
        <w:tc>
          <w:tcPr>
            <w:tcW w:type="dxa" w:w="3120"/>
            <w:tcW w:w="1100" w:type="dxa"/>
            <w:tcMar>
              <w:top w:w="40" w:type="dxa"/>
              <w:bottom w:w="40" w:type="dxa"/>
              <w:left w:w="90" w:type="dxa"/>
              <w:right w:w="90" w:type="dxa"/>
            </w:tcMar>
          </w:tcPr>
          <w:p>
            <w:r>
              <w:rPr>
                <w:sz w:val="17"/>
              </w:rPr>
              <w:t>Claim 7</w:t>
            </w:r>
          </w:p>
        </w:tc>
        <w:tc>
          <w:tcPr>
            <w:tcW w:type="dxa" w:w="3120"/>
            <w:tcW w:w="2300" w:type="dxa"/>
            <w:tcMar>
              <w:top w:w="40" w:type="dxa"/>
              <w:bottom w:w="40" w:type="dxa"/>
              <w:left w:w="90" w:type="dxa"/>
              <w:right w:w="90" w:type="dxa"/>
            </w:tcMar>
          </w:tcPr>
          <w:p>
            <w:r>
              <w:rPr>
                <w:sz w:val="17"/>
              </w:rPr>
              <w:t>Combination Claim</w:t>
            </w:r>
          </w:p>
        </w:tc>
        <w:tc>
          <w:tcPr>
            <w:tcW w:type="dxa" w:w="3120"/>
            <w:tcW w:w="5960" w:type="dxa"/>
            <w:tcMar>
              <w:top w:w="40" w:type="dxa"/>
              <w:bottom w:w="40" w:type="dxa"/>
              <w:left w:w="90" w:type="dxa"/>
              <w:right w:w="90" w:type="dxa"/>
            </w:tcMar>
          </w:tcPr>
          <w:p>
            <w:r>
              <w:rPr>
                <w:sz w:val="17"/>
              </w:rPr>
              <w:t>Claims 1–6 as one platform, extended by 5-tier slot enforcement, Tuppence-gated AI Services, and the AI Guardrail (existence gate + spend register). One non-refundable currency spans human introductions AND AI services. The combination is the core protectable contribution.</w:t>
            </w:r>
          </w:p>
        </w:tc>
      </w:tr>
      <w:tr>
        <w:tc>
          <w:tcPr>
            <w:tcW w:type="dxa" w:w="3120"/>
            <w:tcW w:w="1100" w:type="dxa"/>
            <w:tcMar>
              <w:top w:w="40" w:type="dxa"/>
              <w:bottom w:w="40" w:type="dxa"/>
              <w:left w:w="90" w:type="dxa"/>
              <w:right w:w="90" w:type="dxa"/>
            </w:tcMar>
          </w:tcPr>
          <w:p>
            <w:r>
              <w:rPr>
                <w:sz w:val="17"/>
              </w:rPr>
              <w:t>Claim 8</w:t>
            </w:r>
          </w:p>
        </w:tc>
        <w:tc>
          <w:tcPr>
            <w:tcW w:type="dxa" w:w="3120"/>
            <w:tcW w:w="2300" w:type="dxa"/>
            <w:tcMar>
              <w:top w:w="40" w:type="dxa"/>
              <w:bottom w:w="40" w:type="dxa"/>
              <w:left w:w="90" w:type="dxa"/>
              <w:right w:w="90" w:type="dxa"/>
            </w:tcMar>
          </w:tcPr>
          <w:p>
            <w:r>
              <w:rPr>
                <w:sz w:val="17"/>
              </w:rPr>
              <w:t>Heritage Content Linking (dep. C1)</w:t>
            </w:r>
          </w:p>
        </w:tc>
        <w:tc>
          <w:tcPr>
            <w:tcW w:type="dxa" w:w="3120"/>
            <w:tcW w:w="5960" w:type="dxa"/>
            <w:tcMar>
              <w:top w:w="40" w:type="dxa"/>
              <w:bottom w:w="40" w:type="dxa"/>
              <w:left w:w="90" w:type="dxa"/>
              <w:right w:w="90" w:type="dxa"/>
            </w:tcMar>
          </w:tcPr>
          <w:p>
            <w:r>
              <w:rPr>
                <w:sz w:val="17"/>
              </w:rPr>
              <w:t>Method: seller-linked place-metadata as a non-transactional overlay, with automatic proximity/category linking. Catalogue size/link cap are non-limiting.</w:t>
            </w:r>
          </w:p>
        </w:tc>
      </w:tr>
      <w:tr>
        <w:tc>
          <w:tcPr>
            <w:tcW w:type="dxa" w:w="3120"/>
            <w:tcW w:w="1100" w:type="dxa"/>
            <w:tcMar>
              <w:top w:w="40" w:type="dxa"/>
              <w:bottom w:w="40" w:type="dxa"/>
              <w:left w:w="90" w:type="dxa"/>
              <w:right w:w="90" w:type="dxa"/>
            </w:tcMar>
          </w:tcPr>
          <w:p>
            <w:r>
              <w:rPr>
                <w:sz w:val="17"/>
              </w:rPr>
              <w:t>Claim 9</w:t>
            </w:r>
          </w:p>
        </w:tc>
        <w:tc>
          <w:tcPr>
            <w:tcW w:type="dxa" w:w="3120"/>
            <w:tcW w:w="2300" w:type="dxa"/>
            <w:tcMar>
              <w:top w:w="40" w:type="dxa"/>
              <w:bottom w:w="40" w:type="dxa"/>
              <w:left w:w="90" w:type="dxa"/>
              <w:right w:w="90" w:type="dxa"/>
            </w:tcMar>
          </w:tcPr>
          <w:p>
            <w:r>
              <w:rPr>
                <w:sz w:val="17"/>
              </w:rPr>
              <w:t>AI Inbound Triage (dep. C7)</w:t>
            </w:r>
          </w:p>
        </w:tc>
        <w:tc>
          <w:tcPr>
            <w:tcW w:type="dxa" w:w="3120"/>
            <w:tcW w:w="5960" w:type="dxa"/>
            <w:tcMar>
              <w:top w:w="40" w:type="dxa"/>
              <w:bottom w:w="40" w:type="dxa"/>
              <w:left w:w="90" w:type="dxa"/>
              <w:right w:w="90" w:type="dxa"/>
            </w:tcMar>
          </w:tcPr>
          <w:p>
            <w:r>
              <w:rPr>
                <w:sz w:val="17"/>
              </w:rPr>
              <w:t>Secret-auth ingestion + structured LLM classification + conjunctive auto-send gate, with platform invariants encoded into the model constraints.</w:t>
            </w:r>
          </w:p>
        </w:tc>
      </w:tr>
    </w:tbl>
    <w:p>
      <w:pPr>
        <w:spacing w:after="120"/>
      </w:pPr>
      <w:r>
        <w:rPr>
          <w:b w:val="0"/>
          <w:i w:val="0"/>
          <w:sz w:val="21"/>
        </w:rPr>
      </w:r>
    </w:p>
    <w:p>
      <w:pPr>
        <w:spacing w:after="120"/>
      </w:pPr>
      <w:r>
        <w:rPr>
          <w:b w:val="0"/>
          <w:i/>
          <w:sz w:val="21"/>
        </w:rPr>
        <w:t>Claim hierarchy: the controlling claim language is in IP Brief v5. Claims 1, 4, 5, 8 and 9 are presented as dependent features of the combination (Claim 7); Claims 2 and 7 carry the independent inventive weight. See IP Brief v5 §6.</w:t>
      </w:r>
    </w:p>
    <w:p>
      <w:pPr>
        <w:pStyle w:val="Heading1"/>
      </w:pPr>
      <w:r>
        <w:t>5. Three-Stream Revenue Model</w:t>
      </w:r>
    </w:p>
    <w:tbl>
      <w:tblPr>
        <w:tblW w:type="auto" w:w="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3120"/>
        <w:gridCol w:w="3120"/>
        <w:gridCol w:w="3120"/>
      </w:tblGrid>
      <w:tr>
        <w:tc>
          <w:tcPr>
            <w:tcW w:type="dxa" w:w="3120"/>
            <w:shd w:val="clear" w:fill="F2F6FA"/>
            <w:tcW w:w="1700" w:type="dxa"/>
            <w:tcMar>
              <w:top w:w="40" w:type="dxa"/>
              <w:bottom w:w="40" w:type="dxa"/>
              <w:left w:w="90" w:type="dxa"/>
              <w:right w:w="90" w:type="dxa"/>
            </w:tcMar>
          </w:tcPr>
          <w:p>
            <w:r>
              <w:rPr>
                <w:b/>
                <w:color w:val="2E5A88"/>
                <w:sz w:val="18"/>
              </w:rPr>
              <w:t>Stream</w:t>
            </w:r>
          </w:p>
        </w:tc>
        <w:tc>
          <w:tcPr>
            <w:tcW w:type="dxa" w:w="3120"/>
            <w:shd w:val="clear" w:fill="F2F6FA"/>
            <w:tcW w:w="1500" w:type="dxa"/>
            <w:tcMar>
              <w:top w:w="40" w:type="dxa"/>
              <w:bottom w:w="40" w:type="dxa"/>
              <w:left w:w="90" w:type="dxa"/>
              <w:right w:w="90" w:type="dxa"/>
            </w:tcMar>
          </w:tcPr>
          <w:p>
            <w:r>
              <w:rPr>
                <w:b/>
                <w:color w:val="2E5A88"/>
                <w:sz w:val="18"/>
              </w:rPr>
              <w:t>Y1 mix (est.)</w:t>
            </w:r>
          </w:p>
        </w:tc>
        <w:tc>
          <w:tcPr>
            <w:tcW w:type="dxa" w:w="3120"/>
            <w:shd w:val="clear" w:fill="F2F6FA"/>
            <w:tcW w:w="6160" w:type="dxa"/>
            <w:tcMar>
              <w:top w:w="40" w:type="dxa"/>
              <w:bottom w:w="40" w:type="dxa"/>
              <w:left w:w="90" w:type="dxa"/>
              <w:right w:w="90" w:type="dxa"/>
            </w:tcMar>
          </w:tcPr>
          <w:p>
            <w:r>
              <w:rPr>
                <w:b/>
                <w:color w:val="2E5A88"/>
                <w:sz w:val="18"/>
              </w:rPr>
              <w:t>Notes</w:t>
            </w:r>
          </w:p>
        </w:tc>
      </w:tr>
      <w:tr>
        <w:tc>
          <w:tcPr>
            <w:tcW w:type="dxa" w:w="3120"/>
            <w:tcW w:w="1700" w:type="dxa"/>
            <w:tcMar>
              <w:top w:w="40" w:type="dxa"/>
              <w:bottom w:w="40" w:type="dxa"/>
              <w:left w:w="90" w:type="dxa"/>
              <w:right w:w="90" w:type="dxa"/>
            </w:tcMar>
          </w:tcPr>
          <w:p>
            <w:r>
              <w:rPr>
                <w:sz w:val="18"/>
              </w:rPr>
              <w:t>Subscriptions</w:t>
            </w:r>
          </w:p>
        </w:tc>
        <w:tc>
          <w:tcPr>
            <w:tcW w:type="dxa" w:w="3120"/>
            <w:tcW w:w="1500" w:type="dxa"/>
            <w:tcMar>
              <w:top w:w="40" w:type="dxa"/>
              <w:bottom w:w="40" w:type="dxa"/>
              <w:left w:w="90" w:type="dxa"/>
              <w:right w:w="90" w:type="dxa"/>
            </w:tcMar>
          </w:tcPr>
          <w:p>
            <w:r>
              <w:rPr>
                <w:sz w:val="18"/>
              </w:rPr>
              <w:t>~68%</w:t>
            </w:r>
          </w:p>
        </w:tc>
        <w:tc>
          <w:tcPr>
            <w:tcW w:type="dxa" w:w="3120"/>
            <w:tcW w:w="6160" w:type="dxa"/>
            <w:tcMar>
              <w:top w:w="40" w:type="dxa"/>
              <w:bottom w:w="40" w:type="dxa"/>
              <w:left w:w="90" w:type="dxa"/>
              <w:right w:w="90" w:type="dxa"/>
            </w:tcMar>
          </w:tcPr>
          <w:p>
            <w:r>
              <w:rPr>
                <w:sz w:val="18"/>
              </w:rPr>
              <w:t>Five tiers ($0–$100/mo). Recurring, slot-limited.</w:t>
            </w:r>
          </w:p>
        </w:tc>
      </w:tr>
      <w:tr>
        <w:tc>
          <w:tcPr>
            <w:tcW w:type="dxa" w:w="3120"/>
            <w:tcW w:w="1700" w:type="dxa"/>
            <w:tcMar>
              <w:top w:w="40" w:type="dxa"/>
              <w:bottom w:w="40" w:type="dxa"/>
              <w:left w:w="90" w:type="dxa"/>
              <w:right w:w="90" w:type="dxa"/>
            </w:tcMar>
          </w:tcPr>
          <w:p>
            <w:r>
              <w:rPr>
                <w:sz w:val="18"/>
              </w:rPr>
              <w:t>Introductions</w:t>
            </w:r>
          </w:p>
        </w:tc>
        <w:tc>
          <w:tcPr>
            <w:tcW w:type="dxa" w:w="3120"/>
            <w:tcW w:w="1500" w:type="dxa"/>
            <w:tcMar>
              <w:top w:w="40" w:type="dxa"/>
              <w:bottom w:w="40" w:type="dxa"/>
              <w:left w:w="90" w:type="dxa"/>
              <w:right w:w="90" w:type="dxa"/>
            </w:tcMar>
          </w:tcPr>
          <w:p>
            <w:r>
              <w:rPr>
                <w:sz w:val="18"/>
              </w:rPr>
              <w:t>~18%</w:t>
            </w:r>
          </w:p>
        </w:tc>
        <w:tc>
          <w:tcPr>
            <w:tcW w:type="dxa" w:w="3120"/>
            <w:tcW w:w="6160" w:type="dxa"/>
            <w:tcMar>
              <w:top w:w="40" w:type="dxa"/>
              <w:bottom w:w="40" w:type="dxa"/>
              <w:left w:w="90" w:type="dxa"/>
              <w:right w:w="90" w:type="dxa"/>
            </w:tcMar>
          </w:tcPr>
          <w:p>
            <w:r>
              <w:rPr>
                <w:sz w:val="18"/>
              </w:rPr>
              <w:t>1 Tuppence ($2) per accepted introduction. Buyer-paid.</w:t>
            </w:r>
          </w:p>
        </w:tc>
      </w:tr>
      <w:tr>
        <w:tc>
          <w:tcPr>
            <w:tcW w:type="dxa" w:w="3120"/>
            <w:tcW w:w="1700" w:type="dxa"/>
            <w:tcMar>
              <w:top w:w="40" w:type="dxa"/>
              <w:bottom w:w="40" w:type="dxa"/>
              <w:left w:w="90" w:type="dxa"/>
              <w:right w:w="90" w:type="dxa"/>
            </w:tcMar>
          </w:tcPr>
          <w:p>
            <w:r>
              <w:rPr>
                <w:sz w:val="18"/>
              </w:rPr>
              <w:t>AI Services</w:t>
            </w:r>
          </w:p>
        </w:tc>
        <w:tc>
          <w:tcPr>
            <w:tcW w:type="dxa" w:w="3120"/>
            <w:tcW w:w="1500" w:type="dxa"/>
            <w:tcMar>
              <w:top w:w="40" w:type="dxa"/>
              <w:bottom w:w="40" w:type="dxa"/>
              <w:left w:w="90" w:type="dxa"/>
              <w:right w:w="90" w:type="dxa"/>
            </w:tcMar>
          </w:tcPr>
          <w:p>
            <w:r>
              <w:rPr>
                <w:sz w:val="18"/>
              </w:rPr>
              <w:t>~14%</w:t>
            </w:r>
          </w:p>
        </w:tc>
        <w:tc>
          <w:tcPr>
            <w:tcW w:type="dxa" w:w="3120"/>
            <w:tcW w:w="6160" w:type="dxa"/>
            <w:tcMar>
              <w:top w:w="40" w:type="dxa"/>
              <w:bottom w:w="40" w:type="dxa"/>
              <w:left w:w="90" w:type="dxa"/>
              <w:right w:w="90" w:type="dxa"/>
            </w:tcMar>
          </w:tcPr>
          <w:p>
            <w:r>
              <w:rPr>
                <w:sz w:val="18"/>
              </w:rPr>
              <w:t>Tuppence-gated per-call micro-payments. Grows with seller adoption.</w:t>
            </w:r>
          </w:p>
        </w:tc>
      </w:tr>
    </w:tbl>
    <w:p>
      <w:pPr>
        <w:spacing w:after="120"/>
      </w:pPr>
      <w:r>
        <w:rPr>
          <w:b w:val="0"/>
          <w:i w:val="0"/>
          <w:sz w:val="21"/>
        </w:rPr>
      </w:r>
    </w:p>
    <w:p>
      <w:pPr>
        <w:spacing w:after="120"/>
      </w:pPr>
      <w:r>
        <w:rPr>
          <w:b w:val="0"/>
          <w:i w:val="0"/>
          <w:sz w:val="21"/>
        </w:rPr>
        <w:t>Projected Year 1 revenue: $235,154 at ~96% operating margin; Year 3 projection: $3.88M. AI services are structurally high-margin — Anthropic API cost averages $0.015–$0.04 per call against $2.00 per Tuppence. AI email triage adds ~$0.0023 per inbound email classified (Haiku); negligible at pre-launch volumes.</w:t>
      </w:r>
    </w:p>
    <w:p>
      <w:pPr>
        <w:pStyle w:val="Heading1"/>
      </w:pPr>
      <w:r>
        <w:t>6. Competitive Differentiation</w:t>
      </w:r>
    </w:p>
    <w:p>
      <w:pPr>
        <w:spacing w:after="120"/>
      </w:pPr>
      <w:r>
        <w:rPr>
          <w:b w:val="0"/>
          <w:i w:val="0"/>
          <w:sz w:val="21"/>
        </w:rPr>
        <w:t>No existing marketplace platform combines: (i) permanent seller anonymity until mutual agreement; (ii) structurally non-refundable buyer commitment prior to identity disclosure; (iii) a platform-computed trust signal as the primary pre-commitment evaluation mechanism; (iv) seller discretion to accept or decline each introduction individually; (v) AI-powered listing services gated by the same commitment currency; and (vi) an AI-mediated inbound communication triage that enforces those same invariants on its own customer-support replies.</w:t>
      </w:r>
    </w:p>
    <w:p>
      <w:pPr>
        <w:spacing w:after="120"/>
      </w:pPr>
      <w:r>
        <w:rPr>
          <w:b w:val="0"/>
          <w:i w:val="0"/>
          <w:sz w:val="21"/>
        </w:rPr>
        <w:t>The introduction charge is categorically distinct from the referral/commission models used by lead-generation and brokerage platforms (Bark.com, Thumbtack and the like): those fees are SELLER-paid, transaction-contingent, and typically proportional to deal value, paid between known parties on or after a concluded transaction. TrustSquare’s charge is the inverse — buyer-paid, fixed, pre-introduction, outcome-independent, non-refundable, and paid blind into mutual anonymity. This inversion of the pay-to-contact direction is the basis on which the platform is differentiated from, and not anticipated by, referral/commission prior art.</w:t>
      </w:r>
    </w:p>
    <w:p>
      <w:pPr>
        <w:spacing w:after="120"/>
      </w:pPr>
      <w:r>
        <w:rPr>
          <w:b w:val="0"/>
          <w:i w:val="0"/>
          <w:sz w:val="21"/>
        </w:rPr>
        <w:t>Initial target: South Africa (property agents, domestic services, professional services). Expansion: city-by-city rollout via the CityLauncher recruitment tool. Wave 1 cities: New York, London, Sydney.</w:t>
      </w:r>
    </w:p>
    <w:p>
      <w:r>
        <w:br w:type="page"/>
      </w:r>
    </w:p>
    <w:p>
      <w:pPr>
        <w:pStyle w:val="Heading1"/>
      </w:pPr>
      <w:r>
        <w:t>7. Infrastructure &amp; Security Architecture</w:t>
      </w:r>
    </w:p>
    <w:tbl>
      <w:tblPr>
        <w:tblW w:type="auto" w:w="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4680"/>
        <w:gridCol w:w="4680"/>
      </w:tblGrid>
      <w:tr>
        <w:tc>
          <w:tcPr>
            <w:tcW w:type="dxa" w:w="4680"/>
            <w:shd w:val="clear" w:fill="F2F6FA"/>
            <w:tcW w:w="1900" w:type="dxa"/>
            <w:tcMar>
              <w:top w:w="40" w:type="dxa"/>
              <w:bottom w:w="40" w:type="dxa"/>
              <w:left w:w="90" w:type="dxa"/>
              <w:right w:w="90" w:type="dxa"/>
            </w:tcMar>
          </w:tcPr>
          <w:p>
            <w:r>
              <w:rPr>
                <w:b/>
                <w:color w:val="2E5A88"/>
                <w:sz w:val="17"/>
              </w:rPr>
              <w:t>Component</w:t>
            </w:r>
          </w:p>
        </w:tc>
        <w:tc>
          <w:tcPr>
            <w:tcW w:type="dxa" w:w="4680"/>
            <w:shd w:val="clear" w:fill="F2F6FA"/>
            <w:tcW w:w="7460" w:type="dxa"/>
            <w:tcMar>
              <w:top w:w="40" w:type="dxa"/>
              <w:bottom w:w="40" w:type="dxa"/>
              <w:left w:w="90" w:type="dxa"/>
              <w:right w:w="90" w:type="dxa"/>
            </w:tcMar>
          </w:tcPr>
          <w:p>
            <w:r>
              <w:rPr>
                <w:b/>
                <w:color w:val="2E5A88"/>
                <w:sz w:val="17"/>
              </w:rPr>
              <w:t>Detail</w:t>
            </w:r>
          </w:p>
        </w:tc>
      </w:tr>
      <w:tr>
        <w:tc>
          <w:tcPr>
            <w:tcW w:type="dxa" w:w="4680"/>
            <w:tcW w:w="1900" w:type="dxa"/>
            <w:tcMar>
              <w:top w:w="40" w:type="dxa"/>
              <w:bottom w:w="40" w:type="dxa"/>
              <w:left w:w="90" w:type="dxa"/>
              <w:right w:w="90" w:type="dxa"/>
            </w:tcMar>
          </w:tcPr>
          <w:p>
            <w:r>
              <w:rPr>
                <w:sz w:val="17"/>
              </w:rPr>
              <w:t>Application</w:t>
            </w:r>
          </w:p>
        </w:tc>
        <w:tc>
          <w:tcPr>
            <w:tcW w:type="dxa" w:w="4680"/>
            <w:tcW w:w="7460" w:type="dxa"/>
            <w:tcMar>
              <w:top w:w="40" w:type="dxa"/>
              <w:bottom w:w="40" w:type="dxa"/>
              <w:left w:w="90" w:type="dxa"/>
              <w:right w:w="90" w:type="dxa"/>
            </w:tcMar>
          </w:tcPr>
          <w:p>
            <w:r>
              <w:rPr>
                <w:sz w:val="17"/>
              </w:rPr>
              <w:t>FastAPI (Python) · Hetzner CPX32 (8GB, 4 vCPU, 160GB NVMe) · Ubuntu 24.04</w:t>
            </w:r>
          </w:p>
        </w:tc>
      </w:tr>
      <w:tr>
        <w:tc>
          <w:tcPr>
            <w:tcW w:type="dxa" w:w="4680"/>
            <w:tcW w:w="1900" w:type="dxa"/>
            <w:tcMar>
              <w:top w:w="40" w:type="dxa"/>
              <w:bottom w:w="40" w:type="dxa"/>
              <w:left w:w="90" w:type="dxa"/>
              <w:right w:w="90" w:type="dxa"/>
            </w:tcMar>
          </w:tcPr>
          <w:p>
            <w:r>
              <w:rPr>
                <w:sz w:val="17"/>
              </w:rPr>
              <w:t>Database</w:t>
            </w:r>
          </w:p>
        </w:tc>
        <w:tc>
          <w:tcPr>
            <w:tcW w:type="dxa" w:w="4680"/>
            <w:tcW w:w="7460" w:type="dxa"/>
            <w:tcMar>
              <w:top w:w="40" w:type="dxa"/>
              <w:bottom w:w="40" w:type="dxa"/>
              <w:left w:w="90" w:type="dxa"/>
              <w:right w:w="90" w:type="dxa"/>
            </w:tcMar>
          </w:tcPr>
          <w:p>
            <w:r>
              <w:rPr>
                <w:sz w:val="17"/>
              </w:rPr>
              <w:t>SQLite WAL mode · daily R2 backups · 14-day retention</w:t>
            </w:r>
          </w:p>
        </w:tc>
      </w:tr>
      <w:tr>
        <w:tc>
          <w:tcPr>
            <w:tcW w:type="dxa" w:w="4680"/>
            <w:tcW w:w="1900" w:type="dxa"/>
            <w:tcMar>
              <w:top w:w="40" w:type="dxa"/>
              <w:bottom w:w="40" w:type="dxa"/>
              <w:left w:w="90" w:type="dxa"/>
              <w:right w:w="90" w:type="dxa"/>
            </w:tcMar>
          </w:tcPr>
          <w:p>
            <w:r>
              <w:rPr>
                <w:sz w:val="17"/>
              </w:rPr>
              <w:t>Media storage</w:t>
            </w:r>
          </w:p>
        </w:tc>
        <w:tc>
          <w:tcPr>
            <w:tcW w:type="dxa" w:w="4680"/>
            <w:tcW w:w="7460" w:type="dxa"/>
            <w:tcMar>
              <w:top w:w="40" w:type="dxa"/>
              <w:bottom w:w="40" w:type="dxa"/>
              <w:left w:w="90" w:type="dxa"/>
              <w:right w:w="90" w:type="dxa"/>
            </w:tcMar>
          </w:tcPr>
          <w:p>
            <w:r>
              <w:rPr>
                <w:sz w:val="17"/>
              </w:rPr>
              <w:t>Cloudflare R2 (EU) · zero egress · local mirror on Hetzner disk</w:t>
            </w:r>
          </w:p>
        </w:tc>
      </w:tr>
      <w:tr>
        <w:tc>
          <w:tcPr>
            <w:tcW w:type="dxa" w:w="4680"/>
            <w:tcW w:w="1900" w:type="dxa"/>
            <w:tcMar>
              <w:top w:w="40" w:type="dxa"/>
              <w:bottom w:w="40" w:type="dxa"/>
              <w:left w:w="90" w:type="dxa"/>
              <w:right w:w="90" w:type="dxa"/>
            </w:tcMar>
          </w:tcPr>
          <w:p>
            <w:r>
              <w:rPr>
                <w:sz w:val="17"/>
              </w:rPr>
              <w:t>Volume</w:t>
            </w:r>
          </w:p>
        </w:tc>
        <w:tc>
          <w:tcPr>
            <w:tcW w:type="dxa" w:w="4680"/>
            <w:tcW w:w="7460" w:type="dxa"/>
            <w:tcMar>
              <w:top w:w="40" w:type="dxa"/>
              <w:bottom w:w="40" w:type="dxa"/>
              <w:left w:w="90" w:type="dxa"/>
              <w:right w:w="90" w:type="dxa"/>
            </w:tcMar>
          </w:tcPr>
          <w:p>
            <w:r>
              <w:rPr>
                <w:sz w:val="17"/>
              </w:rPr>
              <w:t>100GB Hetzner block storage · Overpass OSM DB (39GB)</w:t>
            </w:r>
          </w:p>
        </w:tc>
      </w:tr>
      <w:tr>
        <w:tc>
          <w:tcPr>
            <w:tcW w:type="dxa" w:w="4680"/>
            <w:tcW w:w="1900" w:type="dxa"/>
            <w:tcMar>
              <w:top w:w="40" w:type="dxa"/>
              <w:bottom w:w="40" w:type="dxa"/>
              <w:left w:w="90" w:type="dxa"/>
              <w:right w:w="90" w:type="dxa"/>
            </w:tcMar>
          </w:tcPr>
          <w:p>
            <w:r>
              <w:rPr>
                <w:sz w:val="17"/>
              </w:rPr>
              <w:t>AI provider</w:t>
            </w:r>
          </w:p>
        </w:tc>
        <w:tc>
          <w:tcPr>
            <w:tcW w:type="dxa" w:w="4680"/>
            <w:tcW w:w="7460" w:type="dxa"/>
            <w:tcMar>
              <w:top w:w="40" w:type="dxa"/>
              <w:bottom w:w="40" w:type="dxa"/>
              <w:left w:w="90" w:type="dxa"/>
              <w:right w:w="90" w:type="dxa"/>
            </w:tcMar>
          </w:tcPr>
          <w:p>
            <w:r>
              <w:rPr>
                <w:sz w:val="17"/>
              </w:rPr>
              <w:t>Anthropic API · claude-haiku-4-5 + claude-sonnet-4-6 · existence-gated · spend-logged</w:t>
            </w:r>
          </w:p>
        </w:tc>
      </w:tr>
      <w:tr>
        <w:tc>
          <w:tcPr>
            <w:tcW w:type="dxa" w:w="4680"/>
            <w:tcW w:w="1900" w:type="dxa"/>
            <w:tcMar>
              <w:top w:w="40" w:type="dxa"/>
              <w:bottom w:w="40" w:type="dxa"/>
              <w:left w:w="90" w:type="dxa"/>
              <w:right w:w="90" w:type="dxa"/>
            </w:tcMar>
          </w:tcPr>
          <w:p>
            <w:r>
              <w:rPr>
                <w:sz w:val="17"/>
              </w:rPr>
              <w:t>Email</w:t>
            </w:r>
          </w:p>
        </w:tc>
        <w:tc>
          <w:tcPr>
            <w:tcW w:type="dxa" w:w="4680"/>
            <w:tcW w:w="7460" w:type="dxa"/>
            <w:tcMar>
              <w:top w:w="40" w:type="dxa"/>
              <w:bottom w:w="40" w:type="dxa"/>
              <w:left w:w="90" w:type="dxa"/>
              <w:right w:w="90" w:type="dxa"/>
            </w:tcMar>
          </w:tcPr>
          <w:p>
            <w:r>
              <w:rPr>
                <w:sz w:val="17"/>
              </w:rPr>
              <w:t>Cloudflare Email Routing + Worker → POST /email/inbound (secret-auth) → Claude Haiku triage → optional Gmail SMTP reply</w:t>
            </w:r>
          </w:p>
        </w:tc>
      </w:tr>
      <w:tr>
        <w:tc>
          <w:tcPr>
            <w:tcW w:type="dxa" w:w="4680"/>
            <w:tcW w:w="1900" w:type="dxa"/>
            <w:tcMar>
              <w:top w:w="40" w:type="dxa"/>
              <w:bottom w:w="40" w:type="dxa"/>
              <w:left w:w="90" w:type="dxa"/>
              <w:right w:w="90" w:type="dxa"/>
            </w:tcMar>
          </w:tcPr>
          <w:p>
            <w:r>
              <w:rPr>
                <w:sz w:val="17"/>
              </w:rPr>
              <w:t>Automation</w:t>
            </w:r>
          </w:p>
        </w:tc>
        <w:tc>
          <w:tcPr>
            <w:tcW w:type="dxa" w:w="4680"/>
            <w:tcW w:w="7460" w:type="dxa"/>
            <w:tcMar>
              <w:top w:w="40" w:type="dxa"/>
              <w:bottom w:w="40" w:type="dxa"/>
              <w:left w:w="90" w:type="dxa"/>
              <w:right w:w="90" w:type="dxa"/>
            </w:tcMar>
          </w:tcPr>
          <w:p>
            <w:r>
              <w:rPr>
                <w:sz w:val="17"/>
              </w:rPr>
              <w:t>n8n (Docker) · email workflows · spend alert webhooks</w:t>
            </w:r>
          </w:p>
        </w:tc>
      </w:tr>
      <w:tr>
        <w:tc>
          <w:tcPr>
            <w:tcW w:type="dxa" w:w="4680"/>
            <w:tcW w:w="1900" w:type="dxa"/>
            <w:tcMar>
              <w:top w:w="40" w:type="dxa"/>
              <w:bottom w:w="40" w:type="dxa"/>
              <w:left w:w="90" w:type="dxa"/>
              <w:right w:w="90" w:type="dxa"/>
            </w:tcMar>
          </w:tcPr>
          <w:p>
            <w:r>
              <w:rPr>
                <w:sz w:val="17"/>
              </w:rPr>
              <w:t>DNS/CDN</w:t>
            </w:r>
          </w:p>
        </w:tc>
        <w:tc>
          <w:tcPr>
            <w:tcW w:type="dxa" w:w="4680"/>
            <w:tcW w:w="7460" w:type="dxa"/>
            <w:tcMar>
              <w:top w:w="40" w:type="dxa"/>
              <w:bottom w:w="40" w:type="dxa"/>
              <w:left w:w="90" w:type="dxa"/>
              <w:right w:w="90" w:type="dxa"/>
            </w:tcMar>
          </w:tcPr>
          <w:p>
            <w:r>
              <w:rPr>
                <w:sz w:val="17"/>
              </w:rPr>
              <w:t>Cloudflare · DDoS protection · cache purge API</w:t>
            </w:r>
          </w:p>
        </w:tc>
      </w:tr>
      <w:tr>
        <w:tc>
          <w:tcPr>
            <w:tcW w:type="dxa" w:w="4680"/>
            <w:tcW w:w="1900" w:type="dxa"/>
            <w:tcMar>
              <w:top w:w="40" w:type="dxa"/>
              <w:bottom w:w="40" w:type="dxa"/>
              <w:left w:w="90" w:type="dxa"/>
              <w:right w:w="90" w:type="dxa"/>
            </w:tcMar>
          </w:tcPr>
          <w:p>
            <w:r>
              <w:rPr>
                <w:sz w:val="17"/>
              </w:rPr>
              <w:t>SSL</w:t>
            </w:r>
          </w:p>
        </w:tc>
        <w:tc>
          <w:tcPr>
            <w:tcW w:type="dxa" w:w="4680"/>
            <w:tcW w:w="7460" w:type="dxa"/>
            <w:tcMar>
              <w:top w:w="40" w:type="dxa"/>
              <w:bottom w:w="40" w:type="dxa"/>
              <w:left w:w="90" w:type="dxa"/>
              <w:right w:w="90" w:type="dxa"/>
            </w:tcMar>
          </w:tcPr>
          <w:p>
            <w:r>
              <w:rPr>
                <w:sz w:val="17"/>
              </w:rPr>
              <w:t>Let’s Encrypt · auto-renew</w:t>
            </w:r>
          </w:p>
        </w:tc>
      </w:tr>
      <w:tr>
        <w:tc>
          <w:tcPr>
            <w:tcW w:type="dxa" w:w="4680"/>
            <w:tcW w:w="1900" w:type="dxa"/>
            <w:tcMar>
              <w:top w:w="40" w:type="dxa"/>
              <w:bottom w:w="40" w:type="dxa"/>
              <w:left w:w="90" w:type="dxa"/>
              <w:right w:w="90" w:type="dxa"/>
            </w:tcMar>
          </w:tcPr>
          <w:p>
            <w:r>
              <w:rPr>
                <w:sz w:val="17"/>
              </w:rPr>
              <w:t>Payments</w:t>
            </w:r>
          </w:p>
        </w:tc>
        <w:tc>
          <w:tcPr>
            <w:tcW w:type="dxa" w:w="4680"/>
            <w:tcW w:w="7460" w:type="dxa"/>
            <w:tcMar>
              <w:top w:w="40" w:type="dxa"/>
              <w:bottom w:w="40" w:type="dxa"/>
              <w:left w:w="90" w:type="dxa"/>
              <w:right w:w="90" w:type="dxa"/>
            </w:tcMar>
          </w:tcPr>
          <w:p>
            <w:r>
              <w:rPr>
                <w:sz w:val="17"/>
              </w:rPr>
              <w:t>Paystack (ZA) · test mode · live mode pending CIPC registration</w:t>
            </w:r>
          </w:p>
        </w:tc>
      </w:tr>
    </w:tbl>
    <w:p>
      <w:pPr>
        <w:spacing w:after="120"/>
      </w:pPr>
      <w:r>
        <w:rPr>
          <w:b w:val="0"/>
          <w:i w:val="0"/>
          <w:sz w:val="21"/>
        </w:rPr>
      </w:r>
    </w:p>
    <w:p>
      <w:pPr>
        <w:spacing w:after="120"/>
      </w:pPr>
      <w:r>
        <w:rPr>
          <w:b w:val="0"/>
          <w:i w:val="0"/>
          <w:sz w:val="21"/>
        </w:rPr>
        <w:t>Security: magic-link auth (no password storage); existence gate on all AI endpoints; shared-secret header on POST /email/inbound (401 on bad secret, 503 when unconfigured); conservative auto-send gate holding legal/compliance/ambiguous mail; non-blocking spend register with income-linked alerts; rate limiting; DMARC+DKIM+SPF on sending domains; no PII transmitted until bilateral consent; seller email never exposed in API responses. POPIA: magic-link email and the 500-char triage body_preview are processed on a legitimate-interest/contract basis with data-minimisation and retention limits.</w:t>
      </w:r>
    </w:p>
    <w:p>
      <w:pPr>
        <w:pStyle w:val="Heading1"/>
      </w:pPr>
      <w:r>
        <w:t>8. Business Model Summary</w:t>
      </w:r>
    </w:p>
    <w:p>
      <w:pPr>
        <w:spacing w:after="120"/>
      </w:pPr>
      <w:r>
        <w:rPr>
          <w:b w:val="0"/>
          <w:i w:val="0"/>
          <w:sz w:val="21"/>
        </w:rPr>
        <w:t>Buyer revenue: Tuppence bundle purchases (1T = $2) for introductions and AI services. Seller revenue: subscription tiers ($0–$100/mo, 5 tiers, slot-limited). AI-services revenue: per-call Tuppence micro-payments. No advertising revenue. No commission on transactions. No data sales. Merchant of Record (Paddle/Stripe) for international buyers; SA buyers via Paystack.</w:t>
      </w:r>
    </w:p>
    <w:p>
      <w:pPr>
        <w:pStyle w:val="Heading1"/>
      </w:pPr>
      <w:r>
        <w:t>9. Trademark &amp; Provisional Patent</w:t>
      </w:r>
    </w:p>
    <w:p>
      <w:pPr>
        <w:spacing w:after="120"/>
      </w:pPr>
      <w:r>
        <w:rPr>
          <w:b w:val="0"/>
          <w:i w:val="0"/>
          <w:sz w:val="21"/>
        </w:rPr>
        <w:t>Trademark: TRUSTSQUARE to be filed at CIPC under Nice Classes 35 (advertising; business management; online marketplace services), 36 (financial services; electronic payment services), and 42 (software as a service; platform as a service). Madrid Protocol filing to follow within 12 months (UK, EU, USA, Kenya, Nigeria).</w:t>
      </w:r>
    </w:p>
    <w:p>
      <w:pPr>
        <w:spacing w:after="120"/>
      </w:pPr>
      <w:r>
        <w:rPr>
          <w:b w:val="0"/>
          <w:i w:val="0"/>
          <w:sz w:val="21"/>
        </w:rPr>
        <w:t>Provisional patent: file with CIPC on Day 0 (launch day). The 9 claims of §4 form the basis (controlling language in IP Brief v5). Pre-filing consultation memorandum, erratum and June 2026 supplement completed — available for instructed attorney review. Counsel firms: Adams &amp; Adams (Pretoria), Spoor &amp; Fisher (Pretoria), Bowmans (Johannesburg).</w:t>
      </w:r>
    </w:p>
    <w:p>
      <w:pPr>
        <w:spacing w:after="120"/>
      </w:pPr>
      <w:r>
        <w:rPr>
          <w:b w:val="0"/>
          <w:i/>
          <w:sz w:val="21"/>
        </w:rPr>
        <w:t>Note on PCT fee reductions: WIPO’s 90% PCT fee reduction is available only to natural-person applicants from listed lower-income economies; South Africa is not listed and the applicant is a corporate entity. The provisional should therefore be budgeted at full fees (no small-entity reduction). (Corrects an earlier strategy note.)</w:t>
      </w:r>
    </w:p>
    <w:p>
      <w:pPr>
        <w:pStyle w:val="Heading1"/>
      </w:pPr>
      <w:r>
        <w:t>Version History</w:t>
      </w:r>
    </w:p>
    <w:tbl>
      <w:tblPr>
        <w:tblW w:type="auto" w:w="0"/>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4680"/>
        <w:gridCol w:w="4680"/>
      </w:tblGrid>
      <w:tr>
        <w:tc>
          <w:tcPr>
            <w:tcW w:type="dxa" w:w="4680"/>
            <w:shd w:val="clear" w:fill="F2F6FA"/>
            <w:tcW w:w="1500" w:type="dxa"/>
            <w:tcMar>
              <w:top w:w="40" w:type="dxa"/>
              <w:bottom w:w="40" w:type="dxa"/>
              <w:left w:w="90" w:type="dxa"/>
              <w:right w:w="90" w:type="dxa"/>
            </w:tcMar>
          </w:tcPr>
          <w:p>
            <w:r>
              <w:rPr>
                <w:b/>
                <w:color w:val="2E5A88"/>
                <w:sz w:val="18"/>
              </w:rPr>
              <w:t>Version</w:t>
            </w:r>
          </w:p>
        </w:tc>
        <w:tc>
          <w:tcPr>
            <w:tcW w:type="dxa" w:w="4680"/>
            <w:shd w:val="clear" w:fill="F2F6FA"/>
            <w:tcW w:w="7860" w:type="dxa"/>
            <w:tcMar>
              <w:top w:w="40" w:type="dxa"/>
              <w:bottom w:w="40" w:type="dxa"/>
              <w:left w:w="90" w:type="dxa"/>
              <w:right w:w="90" w:type="dxa"/>
            </w:tcMar>
          </w:tcPr>
          <w:p>
            <w:r>
              <w:rPr>
                <w:b/>
                <w:color w:val="2E5A88"/>
                <w:sz w:val="18"/>
              </w:rPr>
              <w:t>Change</w:t>
            </w:r>
          </w:p>
        </w:tc>
      </w:tr>
      <w:tr>
        <w:tc>
          <w:tcPr>
            <w:tcW w:type="dxa" w:w="4680"/>
            <w:tcW w:w="1500" w:type="dxa"/>
            <w:tcMar>
              <w:top w:w="40" w:type="dxa"/>
              <w:bottom w:w="40" w:type="dxa"/>
              <w:left w:w="90" w:type="dxa"/>
              <w:right w:w="90" w:type="dxa"/>
            </w:tcMar>
          </w:tcPr>
          <w:p>
            <w:r>
              <w:rPr>
                <w:sz w:val="18"/>
              </w:rPr>
              <w:t>v3.0 (Apr 2026)</w:t>
            </w:r>
          </w:p>
        </w:tc>
        <w:tc>
          <w:tcPr>
            <w:tcW w:type="dxa" w:w="4680"/>
            <w:tcW w:w="7860" w:type="dxa"/>
            <w:tcMar>
              <w:top w:w="40" w:type="dxa"/>
              <w:bottom w:w="40" w:type="dxa"/>
              <w:left w:w="90" w:type="dxa"/>
              <w:right w:w="90" w:type="dxa"/>
            </w:tcMar>
          </w:tcPr>
          <w:p>
            <w:r>
              <w:rPr>
                <w:sz w:val="18"/>
              </w:rPr>
              <w:t>Initial provisional patent document.</w:t>
            </w:r>
          </w:p>
        </w:tc>
      </w:tr>
      <w:tr>
        <w:tc>
          <w:tcPr>
            <w:tcW w:type="dxa" w:w="4680"/>
            <w:tcW w:w="1500" w:type="dxa"/>
            <w:tcMar>
              <w:top w:w="40" w:type="dxa"/>
              <w:bottom w:w="40" w:type="dxa"/>
              <w:left w:w="90" w:type="dxa"/>
              <w:right w:w="90" w:type="dxa"/>
            </w:tcMar>
          </w:tcPr>
          <w:p>
            <w:r>
              <w:rPr>
                <w:sz w:val="18"/>
              </w:rPr>
              <w:t>v3.1 (May 2026)</w:t>
            </w:r>
          </w:p>
        </w:tc>
        <w:tc>
          <w:tcPr>
            <w:tcW w:type="dxa" w:w="4680"/>
            <w:tcW w:w="7860" w:type="dxa"/>
            <w:tcMar>
              <w:top w:w="40" w:type="dxa"/>
              <w:bottom w:w="40" w:type="dxa"/>
              <w:left w:w="90" w:type="dxa"/>
              <w:right w:w="90" w:type="dxa"/>
            </w:tcMar>
          </w:tcPr>
          <w:p>
            <w:r>
              <w:rPr>
                <w:sz w:val="18"/>
              </w:rPr>
              <w:t>Heritage layer, Claim 8.</w:t>
            </w:r>
          </w:p>
        </w:tc>
      </w:tr>
      <w:tr>
        <w:tc>
          <w:tcPr>
            <w:tcW w:type="dxa" w:w="4680"/>
            <w:tcW w:w="1500" w:type="dxa"/>
            <w:tcMar>
              <w:top w:w="40" w:type="dxa"/>
              <w:bottom w:w="40" w:type="dxa"/>
              <w:left w:w="90" w:type="dxa"/>
              <w:right w:w="90" w:type="dxa"/>
            </w:tcMar>
          </w:tcPr>
          <w:p>
            <w:r>
              <w:rPr>
                <w:sz w:val="18"/>
              </w:rPr>
              <w:t>v3.2 (May 2026)</w:t>
            </w:r>
          </w:p>
        </w:tc>
        <w:tc>
          <w:tcPr>
            <w:tcW w:type="dxa" w:w="4680"/>
            <w:tcW w:w="7860" w:type="dxa"/>
            <w:tcMar>
              <w:top w:w="40" w:type="dxa"/>
              <w:bottom w:w="40" w:type="dxa"/>
              <w:left w:w="90" w:type="dxa"/>
              <w:right w:w="90" w:type="dxa"/>
            </w:tcMar>
          </w:tcPr>
          <w:p>
            <w:r>
              <w:rPr>
                <w:sz w:val="18"/>
              </w:rPr>
              <w:t>5-tier subscription redesign; AI Services revenue stream; AI guardrail architecture; spend register; CPX32 upgrade.</w:t>
            </w:r>
          </w:p>
        </w:tc>
      </w:tr>
      <w:tr>
        <w:tc>
          <w:tcPr>
            <w:tcW w:type="dxa" w:w="4680"/>
            <w:tcW w:w="1500" w:type="dxa"/>
            <w:tcMar>
              <w:top w:w="40" w:type="dxa"/>
              <w:bottom w:w="40" w:type="dxa"/>
              <w:left w:w="90" w:type="dxa"/>
              <w:right w:w="90" w:type="dxa"/>
            </w:tcMar>
          </w:tcPr>
          <w:p>
            <w:r>
              <w:rPr>
                <w:sz w:val="18"/>
              </w:rPr>
              <w:t>v3.3 (May 2026)</w:t>
            </w:r>
          </w:p>
        </w:tc>
        <w:tc>
          <w:tcPr>
            <w:tcW w:type="dxa" w:w="4680"/>
            <w:tcW w:w="7860" w:type="dxa"/>
            <w:tcMar>
              <w:top w:w="40" w:type="dxa"/>
              <w:bottom w:w="40" w:type="dxa"/>
              <w:left w:w="90" w:type="dxa"/>
              <w:right w:w="90" w:type="dxa"/>
            </w:tcMar>
          </w:tcPr>
          <w:p>
            <w:r>
              <w:rPr>
                <w:sz w:val="18"/>
              </w:rPr>
              <w:t>§3.9 AI inbound triage + Claim 9; referral/commission distinction; Claim 8 method framing; email_triage schema.</w:t>
            </w:r>
          </w:p>
        </w:tc>
      </w:tr>
      <w:tr>
        <w:tc>
          <w:tcPr>
            <w:tcW w:type="dxa" w:w="4680"/>
            <w:tcW w:w="1500" w:type="dxa"/>
            <w:tcMar>
              <w:top w:w="40" w:type="dxa"/>
              <w:bottom w:w="40" w:type="dxa"/>
              <w:left w:w="90" w:type="dxa"/>
              <w:right w:w="90" w:type="dxa"/>
            </w:tcMar>
          </w:tcPr>
          <w:p>
            <w:r>
              <w:rPr>
                <w:sz w:val="18"/>
              </w:rPr>
              <w:t>v3.4 (Jun 2026)</w:t>
            </w:r>
          </w:p>
        </w:tc>
        <w:tc>
          <w:tcPr>
            <w:tcW w:type="dxa" w:w="4680"/>
            <w:tcW w:w="7860" w:type="dxa"/>
            <w:tcMar>
              <w:top w:w="40" w:type="dxa"/>
              <w:bottom w:w="40" w:type="dxa"/>
              <w:left w:w="90" w:type="dxa"/>
              <w:right w:w="90" w:type="dxa"/>
            </w:tcMar>
          </w:tcPr>
          <w:p>
            <w:r>
              <w:rPr>
                <w:sz w:val="18"/>
              </w:rPr>
              <w:t>Corrected CIPRO → CIPC throughout. Added buyer-paid pay-to-contact INVERSION narrative (vs seller-paid Bark/Thumbtack) in §2 and §6. Reframed Tuppence burn as service-rendered-at-request and clarified float (unspent credit) does not expire before the CPA minimum validity — preserving strict cash non-refundability (§3.2). Claim hierarchy clarified (Claims 2+7 independent; 1/4/5/8/9 dependent) per IP Brief v5. Corrected the PCT small-entity fee-reduction note (§9). BEA v1.3.4.</w:t>
            </w:r>
          </w:p>
        </w:tc>
      </w:tr>
    </w:tbl>
    <w:p>
      <w:pPr>
        <w:spacing w:after="120"/>
      </w:pPr>
      <w:r>
        <w:rPr>
          <w:b w:val="0"/>
          <w:i w:val="0"/>
          <w:sz w:val="21"/>
        </w:rPr>
      </w:r>
    </w:p>
    <w:p>
      <w:pPr>
        <w:spacing w:after="120"/>
      </w:pPr>
      <w:r>
        <w:rPr>
          <w:b/>
          <w:i w:val="0"/>
          <w:color w:val="5A6B7B"/>
          <w:sz w:val="18"/>
        </w:rPr>
        <w:t>Trustsquare (Pty) Ltd  |  Reg 2026/340128/07  |  trustsquare.co  |  Director: David Maurice Conradie</w:t>
      </w:r>
    </w:p>
    <w:p>
      <w:pPr>
        <w:spacing w:after="120"/>
      </w:pPr>
      <w:r>
        <w:rPr>
          <w:b/>
          <w:i w:val="0"/>
          <w:color w:val="B03A3A"/>
          <w:sz w:val="18"/>
        </w:rPr>
        <w:t>CONFIDENTIAL — Prior Art Disclosure  |  Not for public distribution until after provisional patent filing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B"/>
        <w:sz w:val="16"/>
      </w:rPr>
      <w:t>TrustSquare Technical Whitepaper v3.4  |  June 2026  |  CONFIDENTIAL — Prior Art Disclosure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A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