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B3362E"/>
          <w:sz w:val="18"/>
          <w:szCs w:val="18"/>
        </w:rPr>
        <w:t xml:space="preserve">TRUSTSQUARE · SOLAR COUNCIL CANON</w:t>
      </w:r>
    </w:p>
    <w:p>
      <w:pPr>
        <w:pStyle w:val="Heading1"/>
      </w:pPr>
      <w:r>
        <w:t xml:space="preserve">Canon Addendum № 1 — The Founders Badge &amp; Launch Special</w:t>
      </w:r>
    </w:p>
    <w:p>
      <w:pPr>
        <w:spacing w:after="120"/>
      </w:pPr>
      <w:r>
        <w:rPr>
          <w:i/>
          <w:iCs/>
          <w:color w:val="555555"/>
        </w:rPr>
        <w:t xml:space="preserve">Final terms, the restored $2 anchor, the Ruby Spark, and the supersessions that bring every canonical document in line.</w:t>
      </w:r>
    </w:p>
    <w:p>
      <w:pPr>
        <w:spacing w:after="120"/>
      </w:pPr>
      <w:r>
        <w:rPr>
          <w:color w:val="555555"/>
          <w:sz w:val="18"/>
          <w:szCs w:val="18"/>
        </w:rPr>
        <w:t xml:space="preserve">15 June 2026 (rev 3 — minting tier moved to $20 Pro after the Simpler Model retired Business/Elite to legacy; canonical tier table re-synced to the Simpler Model) · Owner: David · Supersedes rev 2 (6 Jun 2026). To be folded into the next versions of the Codex, WhitePaper, IP Brief and EULA.</w:t>
      </w:r>
    </w:p>
    <w:p>
      <w:pPr>
        <w:pBdr>
          <w:bottom w:val="single" w:color="B3362E" w:sz="6" w:space="1"/>
        </w:pBdr>
        <w:spacing w:after="160"/>
      </w:pPr>
    </w:p>
    <w:p>
      <w:pPr>
        <w:pStyle w:val="Heading2"/>
        <w:spacing w:after="120" w:before="260"/>
      </w:pPr>
      <w:r>
        <w:t xml:space="preserve">Standing of this document</w:t>
      </w:r>
    </w:p>
    <w:p>
      <w:pPr>
        <w:spacing w:after="120"/>
      </w:pPr>
      <w:r>
        <w:t xml:space="preserve">TrustSquare WhitePaper v2 (21 April 2026) is a published defensive disclosure and is never edited. Its §9 architectural-enforcement principles — identity binding, non-transferability, permanent closure of the minting window, no administrative override — are reaffirmed, and so is its founding economic principle: 1 Tuppence = US $2.00, fixed, for every user.</w:t>
      </w:r>
    </w:p>
    <w:p>
      <w:pPr>
        <w:spacing w:after="120"/>
      </w:pPr>
      <w:r>
        <w:t xml:space="preserve">Rev 2 (6 June 2026) narrowed what §9 supersedes to: the AI-Guidance exchange-rate advantage (retired with the AI-uses model), the $15 International qualifying tier, and the launch-day-only window.</w:t>
      </w:r>
    </w:p>
    <w:p>
      <w:pPr>
        <w:spacing w:after="120"/>
      </w:pPr>
      <w:r>
        <w:t xml:space="preserve">Rev 3 (15 June 2026) makes one further change. After the Simpler Model (adopted 9–10 June 2026) retired the Business and Elite tiers to legacy, the qualifying tier for minting moves from $40 Business / $100 Elite to the $20 Pro subscription, and the canonical tier table is re-synced to the Simpler Model ($0 Free · $5 Starter · $20 Pro · Agency). The fixed $2 Tuppence principle and the enforcement architecture remain reaffirmed, not superseded.</w:t>
      </w:r>
    </w:p>
    <w:p>
      <w:pPr>
        <w:pStyle w:val="Heading2"/>
        <w:spacing w:after="120" w:before="260"/>
      </w:pPr>
      <w:r>
        <w:t xml:space="preserve">1 · The Launch Special — final terms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6840"/>
      </w:tblGrid>
      <w:tr>
        <w:trPr>
          <w:tblHeader/>
        </w:trP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Term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Final position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The $2 anchor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1 Tuppence = $2, fixed, for every user. Monthly allocation = price ÷ 2: Starter $5 → 2 T, Pro $20 → 10 T (Pro returns its full price in Tuppence). The pitch: your subscription comes back to you in Tuppence; the slots and features are what you’re buying.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Monthly allocations (locked)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$0 Free: 2 slots · 0 T · $5 Starter: 10 slots · 2 T · $20 Pro: 30 slots · 10 T · Agency: free + verified, 10 base slots (allowance grows with Trust Score) · 0 T. Legacy tiers ($12 Standard · $40 Business · $100 Elite) are retained for existing users until migration and are not offered to new sellers. Tuppence is spendable on introductions or any app feature; slots never accumulate.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Qualifying action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Subscribe to the $20 Pro tier during the launch window, redeeming a launch number. Free, Starter and Agency do not mint the badge. (Supersedes rev 2’s $40 Business / $100 Elite, which the Simpler Model retired to legacy.)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Window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Launch day → the end of the launch month. The final, once-ever closing — the minting code is disabled at close and the special is never repeated, at any price, in any promotion.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Advantage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20% bonus Tuppence on any paid plan, every month, for life — rounded up: Pro 10 → 12. Once minted, the badge honours every later state: downgrade to Starter and the bonus applies to its allocation; pause for a year and return, and it applies again. Free stays free — no bonus; the badge waits. Listing-slot caps are unchanged by the badge.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Distribution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Unique, database-controlled numbers (TSL-XXXX-XXXX-CCCC, HMAC-tagged). Individual email → one number, one person, one ID. Agency email → one agency number; each registered agent redeems it once against their own ID.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Identity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Bound to the holder’s verified identity as a salted hash (the KYC flow verifies the real ID; the raw number is never stored in the programme tables). One human, one badge, forever.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Slots vs Tuppence (clarity canon)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Listing slots = a capacity ceiling — the maximum adverts live at any moment; a constant of the tier, never added month to month. Tuppence = spendable currency — granted monthly. The two must never be displayed as bare numbers without distinct labels, units and visuals (a slot METER — e.g. 22/30 used — versus a WALLET balance).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Tiers (canon)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$0 Free · $5 Starter · $20 Pro · Agency (free + verified), per the Simpler Model — these are SELLER subscription tiers (listing slots). The interim $0/$12/$20/$40/$100 seller structure is retired; $12/$40/$100 persist only as legacy entries for existing users. NOTE: Buyer subscription tiers (Codex A7 — Free $0 local / Global $5/mo national+global, two tiers controlling wishlist-feed reach) are a SEPARATE axis, governed by A7 and the live code, not by this addendum.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AI model (canon)</w:t>
            </w:r>
          </w:p>
        </w:tc>
        <w:tc>
          <w:tcPr>
            <w:tcW w:type="dxa" w:w="6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“AI uses” no longer exist. In-app AI guidance is free; advanced AI features are Tuppence-priced per use.</w:t>
            </w:r>
          </w:p>
        </w:tc>
      </w:tr>
    </w:tbl>
    <w:p>
      <w:pPr>
        <w:pStyle w:val="Heading2"/>
        <w:spacing w:after="120" w:before="260"/>
      </w:pPr>
      <w:r>
        <w:t xml:space="preserve">2 · The mark — the Ruby Spark</w:t>
      </w:r>
    </w:p>
    <w:p>
      <w:pPr>
        <w:spacing w:after="120"/>
      </w:pPr>
      <w:r>
        <w:t xml:space="preserve">A four-point star, outer #B3362E, inner #F59A93, rendered at 16px (asset: static/founders_spark.svg). Red is deliberately the only colour no trust tier owns (gold = Highly Trusted, green = Trusted, blue = Established), so the spark can never be mistaken for a trust grade — on the entire platform it means exactly one thing: this person was here at the founding.</w:t>
      </w:r>
    </w:p>
    <w:p>
      <w:pPr>
        <w:spacing w:after="120"/>
      </w:pPr>
      <w:r>
        <w:t xml:space="preserve">It sits beside the trust chip on every listing card the holder owns, on the listing detail, and on the seller profile. Tapping it shows a single line: “Founders Badge · minted at launch 2026 — never minted again.” No perks are listed anywhere in the app — the cohort is closed. Benefits run silently server-side off the ID-hash; the holder’s only private trace is one wallet-history line (e.g. “Founders bonus +2 T”), visible to them alone.</w:t>
      </w:r>
    </w:p>
    <w:p>
      <w:pPr>
        <w:pStyle w:val="Heading2"/>
        <w:spacing w:after="120" w:before="260"/>
      </w:pPr>
      <w:r>
        <w:t xml:space="preserve">3 · Supersessions &amp; retirements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6480"/>
      </w:tblGrid>
      <w:tr>
        <w:trPr>
          <w:tblHeader/>
        </w:trP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Where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changes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Addendum № 1 rev 2 (minting tier)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$40 Business / $100 Elite → $20 Pro. Reason: the Simpler Model (9–10 Jun) retired Business and Elite to legacy, leaving minting on tiers new sellers can no longer buy. Enforcement architecture, the $2 anchor and one-human-one-badge are unchanged.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Addendum № 1 rev 2 (tier table)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$0 / $12 Standard / $20 Professional / $40 Business / $100 Elite → Simpler Model: $0 Free / $5 Starter / $20 Pro / Agency. Allocations Starter 2 T, Pro 10 T (price ÷ 2). Founders bonus on Pro: 10 → 12.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WhitePaper v2 §9.4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AI-Guidance exchange-rate advantage (10-per-Tuppence vs 8) → superseded by the rounded-up 20% Tuppence bonus (the AI-uses model itself is retired). The fixed $2 Tuppence principle is reaffirmed, not superseded.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WhitePaper v2 §9 (carried from rev 2)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$15 International qualifying tier and launch-day-only minting were superseded by rev 2; rev 3 does not revive them. The qualifying tier is now $20 Pro. Enforcement architecture unchanged and reaffirmed.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Outreach canon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All 28 outreach templates (14 MarketSquare n8n + 14 CityLauncher) now present the $20 Pro qualifying terms and “12 instead of 10 Tuppence monthly on Pro”; the two mirrors are byte-identical.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EULA → current (for counsel)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The §6.2 Buyer Subscription Tiers are Free $0 (local) / Global $5/mo (national+global) — the live two-tier code model (NOT seller tiers); the old 3-tier $0/$5/$15 sessions-per-day table is retired. Retain the special’s terms, the ID-hash POPIA basis, the no-refund consistency note, and the once-ever representation.</w:t>
            </w:r>
          </w:p>
        </w:tc>
      </w:tr>
      <w:tr>
        <w:tc>
          <w:tcPr>
            <w:tcW w:type="dxa" w:w="2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000000"/>
                <w:sz w:val="20"/>
                <w:szCs w:val="20"/>
              </w:rPr>
              <w:t xml:space="preserve">Buyer tiers (A7) — conflation corrected</w:t>
            </w:r>
          </w:p>
        </w:tc>
        <w:tc>
          <w:tcPr>
            <w:tcW w:type="dxa" w:w="6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000000"/>
                <w:sz w:val="20"/>
                <w:szCs w:val="20"/>
              </w:rPr>
              <w:t xml:space="preserve">rev 2 and the Codex Evolution Audit claimed the A7 buyer tiers were superseded by $0/$12/$20/$40/$100. Withdrawn: that conflated buyer session-tiers with seller slot-tiers, and the 5-tier target was itself retired by the Simpler Model. Buyer subscription tiers are pinned to the live code: Free $0 (local) / Global $5/mo (national+global), two tiers only (_buyer_tier -&gt; free|global; WISHLIST_GLOBAL_USD = 5); the 3-tier $0/$5/$15 sessions-per-day spec is retired; buyers pay 1T per Introduction regardless of tier.</w:t>
            </w:r>
          </w:p>
        </w:tc>
      </w:tr>
    </w:tbl>
    <w:p>
      <w:pPr>
        <w:pStyle w:val="Heading2"/>
        <w:spacing w:after="120" w:before="260"/>
      </w:pPr>
      <w:r>
        <w:t xml:space="preserve">The significance, in one paragraph</w:t>
      </w:r>
    </w:p>
    <w:p>
      <w:pPr>
        <w:spacing w:after="120"/>
      </w:pPr>
      <w:r>
        <w:t xml:space="preserve">The Founders Badge is the only artefact TrustSquare will ever mint exactly once. It cannot be bought after the window closes, cannot be transferred, cannot be re-issued, and confers its advantage for the holder’s lifetime on the platform. It is not a discount voucher; it is a historical credential — proof of having been there when the marketplace began.</w:t>
      </w:r>
    </w:p>
    <w:p>
      <w:pPr>
        <w:pStyle w:val="Heading2"/>
        <w:spacing w:after="120" w:before="260"/>
      </w:pPr>
      <w:r>
        <w:t xml:space="preserve">4 · Implementation references</w:t>
      </w:r>
    </w:p>
    <w:p>
      <w:pPr>
        <w:spacing w:after="120"/>
      </w:pPr>
      <w:r>
        <w:t xml:space="preserve">Redemption side (built): MarketSquare/launch_redemption.py — QUALIFYING_TIERS = ("pro",); monthly allocation grant + ×1.2 rounded-up Founders bonus (Pro 10 → 12). Issuing side: CityLauncher/emailer/launch_codes.py — the closed launch-number registry, now qualifying on the $20 Pro subscription. Env-gated launch block live in all 28 outreach templates. Mark asset: MarketSquare/static/founders_spark.svg.</w:t>
      </w:r>
    </w:p>
    <w:p>
      <w:pPr>
        <w:spacing w:after="120"/>
      </w:pPr>
      <w:r>
        <w:rPr>
          <w:i/>
          <w:iCs/>
          <w:color w:val="777777"/>
          <w:sz w:val="18"/>
          <w:szCs w:val="18"/>
        </w:rPr>
        <w:t xml:space="preserve">Pricing authority for all figures here: MarketSquare/PRICING_CANON.md + the live code constants (verify with scripts/check_pricing_canon.py). Prepared from Canon_Addendum_FoundersBadge_REV3_BRIEF.md (15 Jun 2026). The published WhitePaper v2 disclosure is not edited; this supersession is recorded here and folds into the next WhitePaper/Codex version.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120"/>
      <w:outlineLvl w:val="0"/>
    </w:pPr>
    <w:rPr>
      <w:rFonts w:ascii="Arial" w:cs="Arial" w:eastAsia="Arial" w:hAnsi="Arial"/>
      <w:b/>
      <w:bCs/>
      <w:color w:val="1A1A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A1A2E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2026-06-15T11:41:43.419Z</dcterms:created>
  <dcterms:modified xsi:type="dcterms:W3CDTF">2026-06-15T11:41:43.419Z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