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DC2626"/>
          <w:sz w:val="18"/>
          <w:szCs w:val="18"/>
        </w:rPr>
        <w:t xml:space="preserve">PRIVILEGED AND CONFIDENTIAL</w:t>
      </w:r>
    </w:p>
    <w:p>
      <w:pPr>
        <w:spacing w:after="40" w:before="0"/>
      </w:pPr>
      <w:r>
        <w:rPr>
          <w:rFonts w:ascii="Arial" w:cs="Arial" w:eastAsia="Arial" w:hAnsi="Arial"/>
          <w:b/>
          <w:bCs/>
          <w:color w:val="DC2626"/>
          <w:sz w:val="18"/>
          <w:szCs w:val="18"/>
        </w:rPr>
        <w:t xml:space="preserve">ATTORNEY WORK PRODUCT  —  PRE-FILING CONSULTATION ADDENDUM v2</w:t>
      </w:r>
    </w:p>
    <w:p>
      <w:pPr>
        <w:spacing w:after="40" w:before="200"/>
      </w:pPr>
      <w:r>
        <w:rPr>
          <w:rFonts w:ascii="Arial" w:cs="Arial" w:eastAsia="Arial" w:hAnsi="Arial"/>
          <w:b/>
          <w:bCs/>
          <w:color w:val="1E3A5F"/>
          <w:sz w:val="32"/>
          <w:szCs w:val="32"/>
        </w:rPr>
        <w:t xml:space="preserve">MEMORANDUM</w:t>
      </w:r>
    </w:p>
    <w:p>
      <w:pPr>
        <w:spacing w:after="80" w:before="0"/>
      </w:pPr>
      <w:r>
        <w:rPr>
          <w:rFonts w:ascii="Arial" w:cs="Arial" w:eastAsia="Arial" w:hAnsi="Arial"/>
          <w:b/>
          <w:bCs/>
          <w:color w:val="C8873A"/>
          <w:sz w:val="26"/>
          <w:szCs w:val="26"/>
        </w:rPr>
        <w:t xml:space="preserve">World Heritage Content Layer — Full Independent Claim + Combination Invention Strategy</w:t>
      </w:r>
    </w:p>
    <w:p>
      <w:pPr>
        <w:spacing w:after="20" w:before="0"/>
      </w:pPr>
      <w:r>
        <w:rPr>
          <w:rFonts w:ascii="Arial" w:cs="Arial" w:eastAsia="Arial" w:hAnsi="Arial"/>
          <w:color w:val="6B7280"/>
          <w:sz w:val="19"/>
          <w:szCs w:val="19"/>
        </w:rPr>
        <w:t xml:space="preserve">To supplement: TrustSquare Pre-Filing Patent Consultation (12 May 2026)</w:t>
      </w:r>
    </w:p>
    <w:p>
      <w:pPr>
        <w:spacing w:after="20" w:before="0"/>
      </w:pPr>
      <w:r>
        <w:rPr>
          <w:rFonts w:ascii="Arial" w:cs="Arial" w:eastAsia="Arial" w:hAnsi="Arial"/>
          <w:color w:val="6B7280"/>
          <w:sz w:val="19"/>
          <w:szCs w:val="19"/>
        </w:rPr>
        <w:t xml:space="preserve">Version: 2.0 — supersedes Patent Amendment v1.0 (15 May 2026)</w:t>
      </w:r>
    </w:p>
    <w:p>
      <w:pPr>
        <w:spacing w:after="20" w:before="0"/>
      </w:pPr>
      <w:r>
        <w:rPr>
          <w:rFonts w:ascii="Arial" w:cs="Arial" w:eastAsia="Arial" w:hAnsi="Arial"/>
          <w:color w:val="6B7280"/>
          <w:sz w:val="19"/>
          <w:szCs w:val="19"/>
        </w:rPr>
        <w:t xml:space="preserve">Date: 15 May 2026</w:t>
      </w:r>
    </w:p>
    <w:p>
      <w:pPr>
        <w:spacing w:after="20" w:before="0"/>
      </w:pPr>
      <w:r>
        <w:rPr>
          <w:rFonts w:ascii="Arial" w:cs="Arial" w:eastAsia="Arial" w:hAnsi="Arial"/>
          <w:color w:val="6B7280"/>
          <w:sz w:val="19"/>
          <w:szCs w:val="19"/>
        </w:rPr>
        <w:t xml:space="preserve">Client: Trustsquare (Pty) Ltd — Reg 2026/340128/07</w:t>
      </w:r>
    </w:p>
    <w:p>
      <w:pPr>
        <w:spacing w:after="20" w:before="0"/>
      </w:pPr>
      <w:r>
        <w:rPr>
          <w:rFonts w:ascii="Arial" w:cs="Arial" w:eastAsia="Arial" w:hAnsi="Arial"/>
          <w:color w:val="6B7280"/>
          <w:sz w:val="19"/>
          <w:szCs w:val="19"/>
        </w:rPr>
        <w:t xml:space="preserve">Director: David Maurice Conradie</w:t>
      </w:r>
    </w:p>
    <w:p>
      <w:pPr>
        <w:spacing w:after="200" w:before="0"/>
      </w:pPr>
      <w:r>
        <w:rPr>
          <w:rFonts w:ascii="Arial" w:cs="Arial" w:eastAsia="Arial" w:hAnsi="Arial"/>
          <w:i/>
          <w:iCs/>
          <w:color w:val="6B7280"/>
          <w:sz w:val="19"/>
          <w:szCs w:val="19"/>
        </w:rPr>
        <w:t xml:space="preserve">Status: Draft for attorney review — not yet filed</w:t>
      </w:r>
    </w:p>
    <w:p>
      <w:r>
        <w:br w:type="page"/>
      </w:r>
    </w:p>
    <w:p>
      <w:pPr>
        <w:pStyle w:val="Heading1"/>
        <w:spacing w:after="120" w:before="360"/>
      </w:pPr>
      <w:r>
        <w:rPr>
          <w:rFonts w:ascii="Arial" w:cs="Arial" w:eastAsia="Arial" w:hAnsi="Arial"/>
          <w:b/>
          <w:bCs/>
          <w:color w:val="1E3A5F"/>
          <w:sz w:val="28"/>
          <w:szCs w:val="28"/>
        </w:rPr>
        <w:t xml:space="preserve">1.  Executive Summary and Strategic Recommendation</w:t>
      </w:r>
    </w:p>
    <w:p>
      <w:pPr>
        <w:pBdr>
          <w:left w:val="single" w:color="C8873A" w:sz="16" w:space="8"/>
        </w:pBdr>
        <w:shd w:fill="FEF9C3" w:val="clear"/>
        <w:spacing w:after="80" w:before="80"/>
      </w:pPr>
      <w:r>
        <w:rPr>
          <w:rFonts w:ascii="Arial" w:cs="Arial" w:eastAsia="Arial" w:hAnsi="Arial"/>
          <w:b/>
          <w:bCs/>
          <w:sz w:val="20"/>
          <w:szCs w:val="20"/>
        </w:rPr>
        <w:t xml:space="preserve">Recommendation: Promote the World Heritage seller-curation mechanic to a full independent claim (Claim 8) and frame Claims 1 + 8 together as a combination invention. Present to counsel for confirmation before filing — if counsel agrees, include both in the provisional application.</w:t>
      </w:r>
    </w:p>
    <w:p>
      <w:pPr>
        <w:spacing w:after="60" w:before="60"/>
      </w:pPr>
      <w:r>
        <w:rPr>
          <w:rFonts w:ascii="Arial" w:cs="Arial" w:eastAsia="Arial" w:hAnsi="Arial"/>
          <w:sz w:val="20"/>
          <w:szCs w:val="20"/>
        </w:rPr>
        <w:t xml:space="preserve">This addendum v2 supersedes v1.0. It promotes the World Heritage Content Layer ("WHCL") mechanic from a dependent claim under Claim 1 to a full independent Claim 8 in its own right, and frames the relationship between Claims 1 and 8 as a combination invention — a strategic posture that significantly strengthens the overall provisional application.</w:t>
      </w:r>
    </w:p>
    <w:p>
      <w:pPr>
        <w:spacing w:after="60" w:before="60"/>
      </w:pPr>
      <w:r>
        <w:rPr>
          <w:rFonts w:ascii="Arial" w:cs="Arial" w:eastAsia="Arial" w:hAnsi="Arial"/>
          <w:sz w:val="20"/>
          <w:szCs w:val="20"/>
        </w:rPr>
        <w:t xml:space="preserve">The combination invention argument is this: TrustSquare's full product is not merely the sum of an anonymous marketplace (Claim 1) and a heritage curation mechanic (Claim 8). The combination produces a qualitatively different result — a marketplace where commercial anonymity and cultural content stewardship are unified in a single seller role — that is not obvious from either element alone and has no prior art equivalent as a unified system.</w:t>
      </w:r>
    </w:p>
    <w:p>
      <w:pPr>
        <w:spacing w:after="60" w:before="60"/>
      </w:pPr>
      <w:r>
        <w:rPr>
          <w:rFonts w:ascii="Arial" w:cs="Arial" w:eastAsia="Arial" w:hAnsi="Arial"/>
          <w:sz w:val="20"/>
          <w:szCs w:val="20"/>
        </w:rPr>
        <w:t xml:space="preserve">Headline findings:</w:t>
      </w:r>
    </w:p>
    <w:p>
      <w:pPr>
        <w:pStyle w:val="ListParagraph"/>
        <w:numPr>
          <w:ilvl w:val="0"/>
          <w:numId w:val="2"/>
        </w:numPr>
        <w:spacing w:after="40" w:before="40"/>
      </w:pPr>
      <w:r>
        <w:rPr>
          <w:rFonts w:ascii="Arial" w:cs="Arial" w:eastAsia="Arial" w:hAnsi="Arial"/>
          <w:b/>
          <w:bCs/>
          <w:sz w:val="20"/>
          <w:szCs w:val="20"/>
        </w:rPr>
        <w:t xml:space="preserve">Claim 8, as an independent claim, has a stronger novelty position than any of Claims 1–7 against the identified prior art pool.</w:t>
      </w:r>
    </w:p>
    <w:p>
      <w:pPr>
        <w:pStyle w:val="ListParagraph"/>
        <w:numPr>
          <w:ilvl w:val="0"/>
          <w:numId w:val="2"/>
        </w:numPr>
        <w:spacing w:after="40" w:before="40"/>
      </w:pPr>
      <w:r>
        <w:rPr>
          <w:rFonts w:ascii="Arial" w:cs="Arial" w:eastAsia="Arial" w:hAnsi="Arial"/>
          <w:b w:val="false"/>
          <w:bCs w:val="false"/>
          <w:sz w:val="20"/>
          <w:szCs w:val="20"/>
        </w:rPr>
        <w:t xml:space="preserve">The combination of Claims 1 + 8 creates a cascade that an infringer must independently defeat — dramatically raising the cost of any invalidity challenge.</w:t>
      </w:r>
    </w:p>
    <w:p>
      <w:pPr>
        <w:pStyle w:val="ListParagraph"/>
        <w:numPr>
          <w:ilvl w:val="0"/>
          <w:numId w:val="2"/>
        </w:numPr>
        <w:spacing w:after="40" w:before="40"/>
      </w:pPr>
      <w:r>
        <w:rPr>
          <w:rFonts w:ascii="Arial" w:cs="Arial" w:eastAsia="Arial" w:hAnsi="Arial"/>
          <w:b w:val="false"/>
          <w:bCs w:val="false"/>
          <w:sz w:val="20"/>
          <w:szCs w:val="20"/>
        </w:rPr>
        <w:t xml:space="preserve">A potential Claim 9 (contextual heritage localisation method) is identified and recommended for counsel assessment.</w:t>
      </w:r>
    </w:p>
    <w:p>
      <w:pPr>
        <w:pStyle w:val="ListParagraph"/>
        <w:numPr>
          <w:ilvl w:val="0"/>
          <w:numId w:val="2"/>
        </w:numPr>
        <w:spacing w:after="40" w:before="40"/>
      </w:pPr>
      <w:r>
        <w:rPr>
          <w:rFonts w:ascii="Arial" w:cs="Arial" w:eastAsia="Arial" w:hAnsi="Arial"/>
          <w:b w:val="false"/>
          <w:bCs w:val="false"/>
          <w:sz w:val="20"/>
          <w:szCs w:val="20"/>
        </w:rPr>
        <w:t xml:space="preserve">EULA Sections 16 and 17 (v1.1, 15 May 2026) provide the contractual framework that supports the patent's commercial operation. Both require counsel sign-off before production.</w:t>
      </w:r>
    </w:p>
    <w:p>
      <w:pPr>
        <w:pBdr>
          <w:bottom w:val="single" w:color="DDDDDD" w:sz="4"/>
        </w:pBdr>
        <w:spacing w:after="120" w:before="120"/>
      </w:pPr>
    </w:p>
    <w:p>
      <w:pPr>
        <w:pStyle w:val="Heading1"/>
        <w:spacing w:after="120" w:before="360"/>
      </w:pPr>
      <w:r>
        <w:rPr>
          <w:rFonts w:ascii="Arial" w:cs="Arial" w:eastAsia="Arial" w:hAnsi="Arial"/>
          <w:b/>
          <w:bCs/>
          <w:color w:val="1E3A5F"/>
          <w:sz w:val="28"/>
          <w:szCs w:val="28"/>
        </w:rPr>
        <w:t xml:space="preserve">2.  Revised Claim Architecture</w:t>
      </w:r>
    </w:p>
    <w:p>
      <w:pPr>
        <w:pStyle w:val="Heading2"/>
        <w:spacing w:after="80" w:before="240"/>
      </w:pPr>
      <w:r>
        <w:rPr>
          <w:rFonts w:ascii="Arial" w:cs="Arial" w:eastAsia="Arial" w:hAnsi="Arial"/>
          <w:b/>
          <w:bCs/>
          <w:color w:val="C8873A"/>
          <w:sz w:val="24"/>
          <w:szCs w:val="24"/>
        </w:rPr>
        <w:t xml:space="preserve">2.1  Full Revised Claim Set (8 claims + proposed Claim 9)</w:t>
      </w:r>
    </w:p>
    <w:p>
      <w:pPr>
        <w:spacing w:after="60" w:before="60"/>
      </w:pPr>
      <w:r>
        <w:rPr>
          <w:rFonts w:ascii="Arial" w:cs="Arial" w:eastAsia="Arial" w:hAnsi="Arial"/>
          <w:sz w:val="20"/>
          <w:szCs w:val="20"/>
        </w:rPr>
        <w:t xml:space="preserve">The table below shows the revised claim architecture. Claims 1–7 are unchanged from the 12 May 2026 provisional. Claim 8 is promoted to independent. Claim 9 is proposed as a new method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026"/>
        <w:gridCol w:w="2000"/>
      </w:tblGrid>
      <w:tr>
        <w:tc>
          <w:tcPr>
            <w:tcW w:type="dxa" w:w="6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Claim</w:t>
            </w:r>
          </w:p>
        </w:tc>
        <w:tc>
          <w:tcPr>
            <w:tcW w:type="dxa" w:w="14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Type</w:t>
            </w:r>
          </w:p>
        </w:tc>
        <w:tc>
          <w:tcPr>
            <w:tcW w:type="dxa" w:w="5026"/>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Subject</w:t>
            </w:r>
          </w:p>
        </w:tc>
        <w:tc>
          <w:tcPr>
            <w:tcW w:type="dxa" w:w="20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Novelty Rating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Independent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Unified Participation Model — anonymous marketplace + Tuppence introduction currency + trust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2400E"/>
                <w:sz w:val="18"/>
                <w:szCs w:val="18"/>
              </w:rPr>
              <w:t xml:space="preserve">Amber (redraft recommended — see 12 May memo)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Tuppence non-refundable commitment signal mechanic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2400E"/>
                <w:sz w:val="18"/>
                <w:szCs w:val="18"/>
              </w:rPr>
              <w:t xml:space="preserve">Amber (redraft recommended)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Anonymity Gate — identity revealed only on bilateral acceptance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65F46"/>
                <w:sz w:val="18"/>
                <w:szCs w:val="18"/>
              </w:rPr>
              <w:t xml:space="preserve">Green (robust)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Trust Score — multi-signal, server-computed, declaration + evidence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2400E"/>
                <w:sz w:val="18"/>
                <w:szCs w:val="18"/>
              </w:rPr>
              <w:t xml:space="preserve">Amber (redraft recommended)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Founding Seller Cohort — permanent priority placement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C2626"/>
                <w:sz w:val="18"/>
                <w:szCs w:val="18"/>
              </w:rPr>
              <w:t xml:space="preserve">Red (high risk — see 12 May memo)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Introduction model bifurcation — Commitment vs. Soft Queue by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65F46"/>
                <w:sz w:val="18"/>
                <w:szCs w:val="18"/>
              </w:rPr>
              <w:t xml:space="preserve">Green (robust)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Dependent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Coach — subscription-gated, session-credit model, inline market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65F46"/>
                <w:sz w:val="18"/>
                <w:szCs w:val="18"/>
              </w:rPr>
              <w:t xml:space="preserve">Green (robust)</w:t>
            </w:r>
          </w:p>
        </w:tc>
      </w:tr>
      <w:tr>
        <w:tc>
          <w:tcPr>
            <w:tcW w:type="dxa" w:w="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8 ★ NEW</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18"/>
                <w:szCs w:val="18"/>
              </w:rPr>
              <w:t xml:space="preserve">Independent</w:t>
            </w:r>
          </w:p>
        </w:tc>
        <w:tc>
          <w:tcPr>
            <w:tcW w:type="dxa" w:w="5026"/>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18"/>
                <w:szCs w:val="18"/>
              </w:rPr>
              <w:t xml:space="preserve">Seller-Curated Heritage Location Linking — non-transactional, globally-designated, embedded in commercial listing</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065F46"/>
                <w:sz w:val="18"/>
                <w:szCs w:val="18"/>
              </w:rPr>
              <w:t xml:space="preserve">Green (robust — strongest novelty position in set)</w:t>
            </w:r>
          </w:p>
        </w:tc>
      </w:tr>
      <w:tr>
        <w:tc>
          <w:tcPr>
            <w:tcW w:type="dxa" w:w="6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9 ★ PROPOSED</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18"/>
                <w:szCs w:val="18"/>
              </w:rPr>
              <w:t xml:space="preserve">Independent (method)</w:t>
            </w:r>
          </w:p>
        </w:tc>
        <w:tc>
          <w:tcPr>
            <w:tcW w:type="dxa" w:w="5026"/>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18"/>
                <w:szCs w:val="18"/>
              </w:rPr>
              <w:t xml:space="preserve">Contextual Heritage Localisation Method — global dataset, seller-geographic filtering, country/type display logic</w:t>
            </w:r>
          </w:p>
        </w:tc>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color w:val="065F46"/>
                <w:sz w:val="18"/>
                <w:szCs w:val="18"/>
              </w:rPr>
              <w:t xml:space="preserve">Green (pending counsel assessment)</w:t>
            </w:r>
          </w:p>
        </w:tc>
      </w:tr>
    </w:tbl>
    <w:p>
      <w:pPr>
        <w:spacing w:before="120"/>
      </w:pPr>
    </w:p>
    <w:p>
      <w:pPr>
        <w:pBdr>
          <w:bottom w:val="single" w:color="DDDDDD" w:sz="4"/>
        </w:pBdr>
        <w:spacing w:after="120" w:before="120"/>
      </w:pPr>
    </w:p>
    <w:p>
      <w:pPr>
        <w:pStyle w:val="Heading1"/>
        <w:spacing w:after="120" w:before="360"/>
      </w:pPr>
      <w:r>
        <w:rPr>
          <w:rFonts w:ascii="Arial" w:cs="Arial" w:eastAsia="Arial" w:hAnsi="Arial"/>
          <w:b/>
          <w:bCs/>
          <w:color w:val="1E3A5F"/>
          <w:sz w:val="28"/>
          <w:szCs w:val="28"/>
        </w:rPr>
        <w:t xml:space="preserve">3.  Claim 8 — Full Independent Claim (Promoted)</w:t>
      </w:r>
    </w:p>
    <w:p>
      <w:pPr>
        <w:pStyle w:val="Heading2"/>
        <w:spacing w:after="80" w:before="240"/>
      </w:pPr>
      <w:r>
        <w:rPr>
          <w:rFonts w:ascii="Arial" w:cs="Arial" w:eastAsia="Arial" w:hAnsi="Arial"/>
          <w:b/>
          <w:bCs/>
          <w:color w:val="C8873A"/>
          <w:sz w:val="24"/>
          <w:szCs w:val="24"/>
        </w:rPr>
        <w:t xml:space="preserve">3.1  Rationale for Promotion to Independent</w:t>
      </w:r>
    </w:p>
    <w:p>
      <w:pPr>
        <w:spacing w:after="60" w:before="60"/>
      </w:pPr>
      <w:r>
        <w:rPr>
          <w:rFonts w:ascii="Arial" w:cs="Arial" w:eastAsia="Arial" w:hAnsi="Arial"/>
          <w:sz w:val="20"/>
          <w:szCs w:val="20"/>
        </w:rPr>
        <w:t xml:space="preserve">In the original v1.0 draft, Claim 8 was framed as dependent on Claim 1. This means it would only be enforceable against an infringer who also infringes Claim 1. Promotion to independent removes that dependency: Claim 8 can be asserted against any platform that implements seller-curated heritage location linking within a marketplace listing, regardless of whether that platform also uses Tuppence or an anonymous introduction mechanic.</w:t>
      </w:r>
    </w:p>
    <w:p>
      <w:pPr>
        <w:spacing w:after="60" w:before="60"/>
      </w:pPr>
      <w:r>
        <w:rPr>
          <w:rFonts w:ascii="Arial" w:cs="Arial" w:eastAsia="Arial" w:hAnsi="Arial"/>
          <w:sz w:val="20"/>
          <w:szCs w:val="20"/>
        </w:rPr>
        <w:t xml:space="preserve">This broader enforcement scope is the primary reason for promotion. A future competitor could build a conventional (non-anonymous, commission-based) marketplace and add a heritage site curation feature — they would not infringe Claim 1 but would infringe independent Claim 8. Dependency would have left that infringement unaddressed.</w:t>
      </w:r>
    </w:p>
    <w:p>
      <w:pPr>
        <w:pStyle w:val="Heading2"/>
        <w:spacing w:after="80" w:before="240"/>
      </w:pPr>
      <w:r>
        <w:rPr>
          <w:rFonts w:ascii="Arial" w:cs="Arial" w:eastAsia="Arial" w:hAnsi="Arial"/>
          <w:b/>
          <w:bCs/>
          <w:color w:val="C8873A"/>
          <w:sz w:val="24"/>
          <w:szCs w:val="24"/>
        </w:rPr>
        <w:t xml:space="preserve">3.2  Proposed Claim 8 Language — Independent</w:t>
      </w:r>
    </w:p>
    <w:p>
      <w:pPr>
        <w:pBdr>
          <w:left w:val="single" w:color="065F46" w:sz="20" w:space="8"/>
        </w:pBdr>
        <w:shd w:fill="D1FAE5" w:val="clear"/>
        <w:spacing w:after="80" w:before="100"/>
      </w:pPr>
      <w:r>
        <w:rPr>
          <w:rFonts w:ascii="Arial" w:cs="Arial" w:eastAsia="Arial" w:hAnsi="Arial"/>
          <w:b/>
          <w:bCs/>
          <w:color w:val="065F46"/>
          <w:sz w:val="19"/>
          <w:szCs w:val="19"/>
        </w:rPr>
        <w:t xml:space="preserve">Claim 8 (INDEPENDENT):  </w:t>
      </w:r>
      <w:r>
        <w:rPr>
          <w:rFonts w:ascii="Arial" w:cs="Arial" w:eastAsia="Arial" w:hAnsi="Arial"/>
          <w:i/>
          <w:iCs/>
          <w:sz w:val="19"/>
          <w:szCs w:val="19"/>
        </w:rPr>
        <w:t xml:space="preserve">A computer-implemented marketplace system comprising: (a) a seller-facing listing management interface configured to receive from a seller a voluntary selection of one or more heritage locations from a structured dataset of internationally-recognised heritage locations, said dataset comprising locations designated by at least one of: UNESCO World Heritage Committee, International Union for Conservation of Nature, or national conservation authority; (b) a data persistence layer configured to store an association between a seller listing identifier and one or more selected heritage location identifiers, said association being seller-initiated and not algorithmically assigned by the system; (c) a buyer-facing listing detail interface configured to render said heritage location associations as non-commercial, informational contextual content subordinate to and visually distinct from the seller's commercial listing content, without constituting a representation by the system operator as to the proximity, quality, accessibility, or commercial availability of said heritage locations; and (d) a heritage location detail interface configured to display, for each associated heritage location, descriptive content, historical content, and a reference to an authoritative external source, wherein the heritage location detail interface is navigable from and returns navigation to the originating seller listing detail interface.</w:t>
      </w:r>
    </w:p>
    <w:p>
      <w:pPr>
        <w:pBdr>
          <w:left w:val="single" w:color="DC2626" w:sz="12" w:space="8"/>
        </w:pBdr>
        <w:spacing w:after="80" w:before="80"/>
      </w:pPr>
      <w:r>
        <w:rPr>
          <w:rFonts w:ascii="Arial" w:cs="Arial" w:eastAsia="Arial" w:hAnsi="Arial"/>
          <w:i/>
          <w:iCs/>
          <w:color w:val="DC2626"/>
          <w:sz w:val="19"/>
          <w:szCs w:val="19"/>
        </w:rPr>
        <w:t xml:space="preserve">[COUNSEL REQUIRED] Counsel to review Claim 8 independent language for: (a) sufficiency of description under Patents Act s.32; (b) whether "internationally-recognised heritage locations" requires further specificity by reference to designation bodies; (c) whether the non-commercial characterisation is adequately distinguished from travel booking platforms in the claim language itself; (d) whether sub-element (d) should be a separate dependent claim rather than part of the independent claim body.</w:t>
      </w:r>
    </w:p>
    <w:p>
      <w:pPr>
        <w:pStyle w:val="Heading2"/>
        <w:spacing w:after="80" w:before="240"/>
      </w:pPr>
      <w:r>
        <w:rPr>
          <w:rFonts w:ascii="Arial" w:cs="Arial" w:eastAsia="Arial" w:hAnsi="Arial"/>
          <w:b/>
          <w:bCs/>
          <w:color w:val="C8873A"/>
          <w:sz w:val="24"/>
          <w:szCs w:val="24"/>
        </w:rPr>
        <w:t xml:space="preserve">3.3  Prior Art Position for Independent Claim 8</w:t>
      </w:r>
    </w:p>
    <w:p>
      <w:pPr>
        <w:spacing w:after="60" w:before="60"/>
      </w:pPr>
      <w:r>
        <w:rPr>
          <w:rFonts w:ascii="Arial" w:cs="Arial" w:eastAsia="Arial" w:hAnsi="Arial"/>
          <w:sz w:val="20"/>
          <w:szCs w:val="20"/>
        </w:rPr>
        <w:t xml:space="preserve">No prior art in the identified pool (Thumbtack, Bark.com, Zoopla, GetYourGuide, Airbnb) discloses all four elements of independent Claim 8:</w:t>
      </w:r>
    </w:p>
    <w:p>
      <w:pPr>
        <w:pStyle w:val="ListParagraph"/>
        <w:numPr>
          <w:ilvl w:val="0"/>
          <w:numId w:val="2"/>
        </w:numPr>
        <w:spacing w:after="40" w:before="40"/>
      </w:pPr>
      <w:r>
        <w:rPr>
          <w:rFonts w:ascii="Arial" w:cs="Arial" w:eastAsia="Arial" w:hAnsi="Arial"/>
          <w:b w:val="false"/>
          <w:bCs w:val="false"/>
          <w:sz w:val="20"/>
          <w:szCs w:val="20"/>
        </w:rPr>
        <w:t xml:space="preserve">Airbnb "Nearby Attractions": algorithmically assigned (fails element b — must be seller-initiated). Not independent claim infringement.</w:t>
      </w:r>
    </w:p>
    <w:p>
      <w:pPr>
        <w:pStyle w:val="ListParagraph"/>
        <w:numPr>
          <w:ilvl w:val="0"/>
          <w:numId w:val="2"/>
        </w:numPr>
        <w:spacing w:after="40" w:before="40"/>
      </w:pPr>
      <w:r>
        <w:rPr>
          <w:rFonts w:ascii="Arial" w:cs="Arial" w:eastAsia="Arial" w:hAnsi="Arial"/>
          <w:b w:val="false"/>
          <w:bCs w:val="false"/>
          <w:sz w:val="20"/>
          <w:szCs w:val="20"/>
        </w:rPr>
        <w:t xml:space="preserve">GetYourGuide / Viator: heritage sites presented as commercial booking inventory (fails element c — must be non-commercial informational content). Not independent claim infringement.</w:t>
      </w:r>
    </w:p>
    <w:p>
      <w:pPr>
        <w:pStyle w:val="ListParagraph"/>
        <w:numPr>
          <w:ilvl w:val="0"/>
          <w:numId w:val="2"/>
        </w:numPr>
        <w:spacing w:after="40" w:before="40"/>
      </w:pPr>
      <w:r>
        <w:rPr>
          <w:rFonts w:ascii="Arial" w:cs="Arial" w:eastAsia="Arial" w:hAnsi="Arial"/>
          <w:b w:val="false"/>
          <w:bCs w:val="false"/>
          <w:sz w:val="20"/>
          <w:szCs w:val="20"/>
        </w:rPr>
        <w:t xml:space="preserve">Google Maps / TripAdvisor: heritage site data displayed as a mapping or review layer, not as seller-curated associations within a marketplace listing (fails element b and c). Not independent claim infringement.</w:t>
      </w:r>
    </w:p>
    <w:p>
      <w:pPr>
        <w:pStyle w:val="ListParagraph"/>
        <w:numPr>
          <w:ilvl w:val="0"/>
          <w:numId w:val="2"/>
        </w:numPr>
        <w:spacing w:after="40" w:before="40"/>
      </w:pPr>
      <w:r>
        <w:rPr>
          <w:rFonts w:ascii="Arial" w:cs="Arial" w:eastAsia="Arial" w:hAnsi="Arial"/>
          <w:b w:val="false"/>
          <w:bCs w:val="false"/>
          <w:sz w:val="20"/>
          <w:szCs w:val="20"/>
        </w:rPr>
        <w:t xml:space="preserve">Booking.com: property listings may reference nearby attractions but these are platform-assigned, not seller-curated, and serve a commercial booking function. Not independent claim infringement.</w:t>
      </w:r>
    </w:p>
    <w:p>
      <w:pPr>
        <w:spacing w:after="60" w:before="60"/>
      </w:pPr>
      <w:r>
        <w:rPr>
          <w:rFonts w:ascii="Arial" w:cs="Arial" w:eastAsia="Arial" w:hAnsi="Arial"/>
          <w:sz w:val="20"/>
          <w:szCs w:val="20"/>
        </w:rPr>
        <w:t xml:space="preserve">Novelty assessment: Robust. All four elements must be present simultaneously for infringement. No identified prior art satisfies all four.</w:t>
      </w:r>
    </w:p>
    <w:p>
      <w:pPr>
        <w:pBdr>
          <w:bottom w:val="single" w:color="DDDDDD" w:sz="4"/>
        </w:pBdr>
        <w:spacing w:after="120" w:before="120"/>
      </w:pPr>
    </w:p>
    <w:p>
      <w:pPr>
        <w:pStyle w:val="Heading1"/>
        <w:spacing w:after="120" w:before="360"/>
      </w:pPr>
      <w:r>
        <w:rPr>
          <w:rFonts w:ascii="Arial" w:cs="Arial" w:eastAsia="Arial" w:hAnsi="Arial"/>
          <w:b/>
          <w:bCs/>
          <w:color w:val="1E3A5F"/>
          <w:sz w:val="28"/>
          <w:szCs w:val="28"/>
        </w:rPr>
        <w:t xml:space="preserve">4.  Combination Invention — Claims 1 + 8</w:t>
      </w:r>
    </w:p>
    <w:p>
      <w:pPr>
        <w:pStyle w:val="Heading2"/>
        <w:spacing w:after="80" w:before="240"/>
      </w:pPr>
      <w:r>
        <w:rPr>
          <w:rFonts w:ascii="Arial" w:cs="Arial" w:eastAsia="Arial" w:hAnsi="Arial"/>
          <w:b/>
          <w:bCs/>
          <w:color w:val="C8873A"/>
          <w:sz w:val="24"/>
          <w:szCs w:val="24"/>
        </w:rPr>
        <w:t xml:space="preserve">4.1  What is a Combination Invention?</w:t>
      </w:r>
    </w:p>
    <w:p>
      <w:pPr>
        <w:spacing w:after="60" w:before="60"/>
      </w:pPr>
      <w:r>
        <w:rPr>
          <w:rFonts w:ascii="Arial" w:cs="Arial" w:eastAsia="Arial" w:hAnsi="Arial"/>
          <w:sz w:val="20"/>
          <w:szCs w:val="20"/>
        </w:rPr>
        <w:t xml:space="preserve">Under South African patent law (Patents Act 57 of 1978, s.25), an invention is patentable if it is new, involves an inventive step, and is capable of being used or applied in trade, industry, or agriculture. An inventive step exists if the invention is not obvious to a person skilled in the art having regard to the prior art.</w:t>
      </w:r>
    </w:p>
    <w:p>
      <w:pPr>
        <w:spacing w:after="60" w:before="60"/>
      </w:pPr>
      <w:r>
        <w:rPr>
          <w:rFonts w:ascii="Arial" w:cs="Arial" w:eastAsia="Arial" w:hAnsi="Arial"/>
          <w:sz w:val="20"/>
          <w:szCs w:val="20"/>
        </w:rPr>
        <w:t xml:space="preserve">A combination invention is one where the inventive step lies not in any individual element but in the combination of elements producing a result that is non-obvious from the elements considered separately. This is the strongest available framing for TrustSquare's full product because each individual element (anonymous marketplace, introduction currency, heritage content display) has some prior art exposure individually, but their combination does not.</w:t>
      </w:r>
    </w:p>
    <w:p>
      <w:pPr>
        <w:pStyle w:val="Heading2"/>
        <w:spacing w:after="80" w:before="240"/>
      </w:pPr>
      <w:r>
        <w:rPr>
          <w:rFonts w:ascii="Arial" w:cs="Arial" w:eastAsia="Arial" w:hAnsi="Arial"/>
          <w:b/>
          <w:bCs/>
          <w:color w:val="C8873A"/>
          <w:sz w:val="24"/>
          <w:szCs w:val="24"/>
        </w:rPr>
        <w:t xml:space="preserve">4.2  The Non-Obvious Combination Argument</w:t>
      </w:r>
    </w:p>
    <w:p>
      <w:pPr>
        <w:pBdr>
          <w:left w:val="single" w:color="C8873A" w:sz="16" w:space="8"/>
        </w:pBdr>
        <w:shd w:fill="FEF9C3" w:val="clear"/>
        <w:spacing w:after="80" w:before="80"/>
      </w:pPr>
      <w:r>
        <w:rPr>
          <w:rFonts w:ascii="Arial" w:cs="Arial" w:eastAsia="Arial" w:hAnsi="Arial"/>
          <w:b/>
          <w:bCs/>
          <w:sz w:val="20"/>
          <w:szCs w:val="20"/>
        </w:rPr>
        <w:t xml:space="preserve">The inventive step: A single seller on TrustSquare simultaneously occupies two roles that have never been unified before — commercial anonymity participant (Claim 1) and cultural heritage content curator (Claim 8). The combination produces a result — a marketplace where economic trust-building and cultural content stewardship are performed by the same actor in the same transaction context — that is qualitatively different from either element alone and is not taught by any prior art.</w:t>
      </w:r>
    </w:p>
    <w:p>
      <w:pPr>
        <w:spacing w:after="60" w:before="60"/>
      </w:pPr>
      <w:r>
        <w:rPr>
          <w:rFonts w:ascii="Arial" w:cs="Arial" w:eastAsia="Arial" w:hAnsi="Arial"/>
          <w:sz w:val="20"/>
          <w:szCs w:val="20"/>
        </w:rPr>
        <w:t xml:space="preserve">The argument proceeds in three steps:</w:t>
      </w:r>
    </w:p>
    <w:p>
      <w:pPr>
        <w:pStyle w:val="ListParagraph"/>
        <w:numPr>
          <w:ilvl w:val="0"/>
          <w:numId w:val="2"/>
        </w:numPr>
        <w:spacing w:after="40" w:before="40"/>
      </w:pPr>
      <w:r>
        <w:rPr>
          <w:rFonts w:ascii="Arial" w:cs="Arial" w:eastAsia="Arial" w:hAnsi="Arial"/>
          <w:b w:val="false"/>
          <w:bCs w:val="false"/>
          <w:sz w:val="20"/>
          <w:szCs w:val="20"/>
        </w:rPr>
        <w:t xml:space="preserve">Step 1 — Individual elements known but not combined: Anonymous marketplaces exist (Claim 1 prior art). Heritage content layers exist (Claim 8 prior art — Google Maps, TripAdvisor). But no prior art combines them in a unified seller role within a single platform.</w:t>
      </w:r>
    </w:p>
    <w:p>
      <w:pPr>
        <w:pStyle w:val="ListParagraph"/>
        <w:numPr>
          <w:ilvl w:val="0"/>
          <w:numId w:val="2"/>
        </w:numPr>
        <w:spacing w:after="40" w:before="40"/>
      </w:pPr>
      <w:r>
        <w:rPr>
          <w:rFonts w:ascii="Arial" w:cs="Arial" w:eastAsia="Arial" w:hAnsi="Arial"/>
          <w:b w:val="false"/>
          <w:bCs w:val="false"/>
          <w:sz w:val="20"/>
          <w:szCs w:val="20"/>
        </w:rPr>
        <w:t xml:space="preserve">Step 2 — The combination is non-obvious: A skilled person looking at an anonymous marketplace would not obviously add heritage content curation to it — these are conceptually distinct domains (commerce vs. cultural education). There is no teaching in the prior art that points toward combining them.</w:t>
      </w:r>
    </w:p>
    <w:p>
      <w:pPr>
        <w:pStyle w:val="ListParagraph"/>
        <w:numPr>
          <w:ilvl w:val="0"/>
          <w:numId w:val="2"/>
        </w:numPr>
        <w:spacing w:after="40" w:before="40"/>
      </w:pPr>
      <w:r>
        <w:rPr>
          <w:rFonts w:ascii="Arial" w:cs="Arial" w:eastAsia="Arial" w:hAnsi="Arial"/>
          <w:b w:val="false"/>
          <w:bCs w:val="false"/>
          <w:sz w:val="20"/>
          <w:szCs w:val="20"/>
        </w:rPr>
        <w:t xml:space="preserve">Step 3 — The combination produces a new result: The result is a seller who is simultaneously motivated to transact (commercial interest) and to share cultural knowledge (curatorial interest) — a dual-role participant that creates network effects unavailable in either type of platform alone. Buyers engage with listings longer, associate trust signals with cultural awareness, and return to the platform for non-transactional browsing — all of which are commercially valuable outcomes not achievable by either element in isolation.</w:t>
      </w:r>
    </w:p>
    <w:p>
      <w:pPr>
        <w:pStyle w:val="Heading2"/>
        <w:spacing w:after="80" w:before="240"/>
      </w:pPr>
      <w:r>
        <w:rPr>
          <w:rFonts w:ascii="Arial" w:cs="Arial" w:eastAsia="Arial" w:hAnsi="Arial"/>
          <w:b/>
          <w:bCs/>
          <w:color w:val="C8873A"/>
          <w:sz w:val="24"/>
          <w:szCs w:val="24"/>
        </w:rPr>
        <w:t xml:space="preserve">4.3  Infringement Cascade Effect</w:t>
      </w:r>
    </w:p>
    <w:p>
      <w:pPr>
        <w:spacing w:after="60" w:before="60"/>
      </w:pPr>
      <w:r>
        <w:rPr>
          <w:rFonts w:ascii="Arial" w:cs="Arial" w:eastAsia="Arial" w:hAnsi="Arial"/>
          <w:sz w:val="20"/>
          <w:szCs w:val="20"/>
        </w:rPr>
        <w:t xml:space="preserve">Framing Claims 1 and 8 as a combination means any full copy of TrustSquare must independently defeat both independent claims. This creates a two-stage invalidity challenge for any infringer:</w:t>
      </w:r>
    </w:p>
    <w:p>
      <w:pPr>
        <w:pStyle w:val="ListParagraph"/>
        <w:numPr>
          <w:ilvl w:val="0"/>
          <w:numId w:val="2"/>
        </w:numPr>
        <w:spacing w:after="40" w:before="40"/>
      </w:pPr>
      <w:r>
        <w:rPr>
          <w:rFonts w:ascii="Arial" w:cs="Arial" w:eastAsia="Arial" w:hAnsi="Arial"/>
          <w:b w:val="false"/>
          <w:bCs w:val="false"/>
          <w:sz w:val="20"/>
          <w:szCs w:val="20"/>
        </w:rPr>
        <w:t xml:space="preserve">To defeat Claim 1: find prior art for the anonymous marketplace + Tuppence + trust score combination — difficult, as argued in the 12 May memo.</w:t>
      </w:r>
    </w:p>
    <w:p>
      <w:pPr>
        <w:pStyle w:val="ListParagraph"/>
        <w:numPr>
          <w:ilvl w:val="0"/>
          <w:numId w:val="2"/>
        </w:numPr>
        <w:spacing w:after="40" w:before="40"/>
      </w:pPr>
      <w:r>
        <w:rPr>
          <w:rFonts w:ascii="Arial" w:cs="Arial" w:eastAsia="Arial" w:hAnsi="Arial"/>
          <w:b w:val="false"/>
          <w:bCs w:val="false"/>
          <w:sz w:val="20"/>
          <w:szCs w:val="20"/>
        </w:rPr>
        <w:t xml:space="preserve">To defeat Claim 8: find prior art for seller-curated, non-transactional, heritage-designated location linking within a marketplace listing — no such prior art identified.</w:t>
      </w:r>
    </w:p>
    <w:p>
      <w:pPr>
        <w:pStyle w:val="ListParagraph"/>
        <w:numPr>
          <w:ilvl w:val="0"/>
          <w:numId w:val="2"/>
        </w:numPr>
        <w:spacing w:after="40" w:before="40"/>
      </w:pPr>
      <w:r>
        <w:rPr>
          <w:rFonts w:ascii="Arial" w:cs="Arial" w:eastAsia="Arial" w:hAnsi="Arial"/>
          <w:b w:val="false"/>
          <w:bCs w:val="false"/>
          <w:sz w:val="20"/>
          <w:szCs w:val="20"/>
        </w:rPr>
        <w:t xml:space="preserve">To defeat the combination: find prior art for the unified combination of both — impossible on current prior art analysis.</w:t>
      </w:r>
    </w:p>
    <w:p>
      <w:pPr>
        <w:spacing w:after="60" w:before="60"/>
      </w:pPr>
      <w:r>
        <w:rPr>
          <w:rFonts w:ascii="Arial" w:cs="Arial" w:eastAsia="Arial" w:hAnsi="Arial"/>
          <w:sz w:val="20"/>
          <w:szCs w:val="20"/>
        </w:rPr>
        <w:t xml:space="preserve">Each stage of this cascade raises the cost and complexity of any invalidity challenge, making TrustSquare's patent position materially stronger than a single-claim application.</w:t>
      </w:r>
    </w:p>
    <w:p>
      <w:pPr>
        <w:pBdr>
          <w:bottom w:val="single" w:color="DDDDDD" w:sz="4"/>
        </w:pBdr>
        <w:spacing w:after="120" w:before="120"/>
      </w:pPr>
    </w:p>
    <w:p>
      <w:pPr>
        <w:pStyle w:val="Heading1"/>
        <w:spacing w:after="120" w:before="360"/>
      </w:pPr>
      <w:r>
        <w:rPr>
          <w:rFonts w:ascii="Arial" w:cs="Arial" w:eastAsia="Arial" w:hAnsi="Arial"/>
          <w:b/>
          <w:bCs/>
          <w:color w:val="1E3A5F"/>
          <w:sz w:val="28"/>
          <w:szCs w:val="28"/>
        </w:rPr>
        <w:t xml:space="preserve">5.  Proposed Claim 9 — Contextual Heritage Localisation Method</w:t>
      </w:r>
    </w:p>
    <w:p>
      <w:pPr>
        <w:pStyle w:val="Heading2"/>
        <w:spacing w:after="80" w:before="240"/>
      </w:pPr>
      <w:r>
        <w:rPr>
          <w:rFonts w:ascii="Arial" w:cs="Arial" w:eastAsia="Arial" w:hAnsi="Arial"/>
          <w:b/>
          <w:bCs/>
          <w:color w:val="C8873A"/>
          <w:sz w:val="24"/>
          <w:szCs w:val="24"/>
        </w:rPr>
        <w:t xml:space="preserve">5.1  Rationale</w:t>
      </w:r>
    </w:p>
    <w:p>
      <w:pPr>
        <w:spacing w:after="60" w:before="60"/>
      </w:pPr>
      <w:r>
        <w:rPr>
          <w:rFonts w:ascii="Arial" w:cs="Arial" w:eastAsia="Arial" w:hAnsi="Arial"/>
          <w:sz w:val="20"/>
          <w:szCs w:val="20"/>
        </w:rPr>
        <w:t xml:space="preserve">The WHCL's filtering and display logic — a global dataset displayed with seller-geographic prioritisation (Africa-first in Pretoria, different ordering in London/Sydney) and client-side country/type filtering — constitutes a protectable method distinct from the system claims in Claims 1 and 8. A method claim covers the process regardless of the specific system implementation, providing an additional layer of protection.</w:t>
      </w:r>
    </w:p>
    <w:p>
      <w:pPr>
        <w:pStyle w:val="Heading2"/>
        <w:spacing w:after="80" w:before="240"/>
      </w:pPr>
      <w:r>
        <w:rPr>
          <w:rFonts w:ascii="Arial" w:cs="Arial" w:eastAsia="Arial" w:hAnsi="Arial"/>
          <w:b/>
          <w:bCs/>
          <w:color w:val="C8873A"/>
          <w:sz w:val="24"/>
          <w:szCs w:val="24"/>
        </w:rPr>
        <w:t xml:space="preserve">5.2  Proposed Claim 9 Language — Method</w:t>
      </w:r>
    </w:p>
    <w:p>
      <w:pPr>
        <w:pBdr>
          <w:left w:val="single" w:color="065F46" w:sz="20" w:space="8"/>
        </w:pBdr>
        <w:shd w:fill="D1FAE5" w:val="clear"/>
        <w:spacing w:after="80" w:before="100"/>
      </w:pPr>
      <w:r>
        <w:rPr>
          <w:rFonts w:ascii="Arial" w:cs="Arial" w:eastAsia="Arial" w:hAnsi="Arial"/>
          <w:b/>
          <w:bCs/>
          <w:color w:val="065F46"/>
          <w:sz w:val="19"/>
          <w:szCs w:val="19"/>
        </w:rPr>
        <w:t xml:space="preserve">Claim 9 (PROPOSED — Independent Method):  </w:t>
      </w:r>
      <w:r>
        <w:rPr>
          <w:rFonts w:ascii="Arial" w:cs="Arial" w:eastAsia="Arial" w:hAnsi="Arial"/>
          <w:i/>
          <w:iCs/>
          <w:sz w:val="19"/>
          <w:szCs w:val="19"/>
        </w:rPr>
        <w:t xml:space="preserve">A computer-implemented method for displaying heritage location content in a localised marketplace context, comprising: (a) maintaining a globally-scoped dataset of heritage locations, each record comprising location type, country, geographic coordinates, descriptive content, historical content, and a reference to an authoritative external source; (b) receiving from a marketplace user interface a filter selection comprising at least one of: country of interest, heritage location type; (c) ordering the filtered heritage location dataset with geographic priority weighting based on the active marketplace city or region of the requesting user session; (d) rendering the ordered, filtered dataset as a horizontally-scrollable visual strip within a marketplace home interface, wherein each heritage location is represented by a photographic thumbnail, type classification badge, name, and country label; and (e) on user selection of a heritage location, rendering a full-screen detail view comprising the heritage location photograph, descriptive content, historical content, and a navigable reference to an authoritative external information source.</w:t>
      </w:r>
    </w:p>
    <w:p>
      <w:pPr>
        <w:pBdr>
          <w:left w:val="single" w:color="DC2626" w:sz="12" w:space="8"/>
        </w:pBdr>
        <w:spacing w:after="80" w:before="80"/>
      </w:pPr>
      <w:r>
        <w:rPr>
          <w:rFonts w:ascii="Arial" w:cs="Arial" w:eastAsia="Arial" w:hAnsi="Arial"/>
          <w:i/>
          <w:iCs/>
          <w:color w:val="DC2626"/>
          <w:sz w:val="19"/>
          <w:szCs w:val="19"/>
        </w:rPr>
        <w:t xml:space="preserve">[COUNSEL REQUIRED] Counsel to assess Claim 9 as a standalone method claim: (a) whether the filtering + geographic prioritisation logic is sufficiently inventive over known content localisation methods; (b) whether elements (d) and (e) are better placed as dependent claims on Claim 8 rather than part of a separate independent method claim; (c) whether the claim as drafted is broad enough to cover future implementations (mobile app, third-party API access) without being so broad as to read on existing map-based content displays.</w:t>
      </w:r>
    </w:p>
    <w:p>
      <w:pPr>
        <w:pBdr>
          <w:bottom w:val="single" w:color="DDDDDD" w:sz="4"/>
        </w:pBdr>
        <w:spacing w:after="120" w:before="120"/>
      </w:pPr>
    </w:p>
    <w:p>
      <w:pPr>
        <w:pStyle w:val="Heading1"/>
        <w:spacing w:after="120" w:before="360"/>
      </w:pPr>
      <w:r>
        <w:rPr>
          <w:rFonts w:ascii="Arial" w:cs="Arial" w:eastAsia="Arial" w:hAnsi="Arial"/>
          <w:b/>
          <w:bCs/>
          <w:color w:val="1E3A5F"/>
          <w:sz w:val="28"/>
          <w:szCs w:val="28"/>
        </w:rPr>
        <w:t xml:space="preserve">6.  Regulatory Impact — Unchanged</w:t>
      </w:r>
    </w:p>
    <w:p>
      <w:pPr>
        <w:spacing w:after="60" w:before="60"/>
      </w:pPr>
      <w:r>
        <w:rPr>
          <w:rFonts w:ascii="Arial" w:cs="Arial" w:eastAsia="Arial" w:hAnsi="Arial"/>
          <w:sz w:val="20"/>
          <w:szCs w:val="20"/>
        </w:rPr>
        <w:t xml:space="preserve">The promotion of Claim 8 to independent and the addition of proposed Claim 9 do not alter the regulatory position established in Patent Amendment v1.0. For completeness:</w:t>
      </w:r>
    </w:p>
    <w:p>
      <w:pPr>
        <w:pStyle w:val="ListParagraph"/>
        <w:numPr>
          <w:ilvl w:val="0"/>
          <w:numId w:val="2"/>
        </w:numPr>
        <w:spacing w:after="40" w:before="40"/>
      </w:pPr>
      <w:r>
        <w:rPr>
          <w:rFonts w:ascii="Arial" w:cs="Arial" w:eastAsia="Arial" w:hAnsi="Arial"/>
          <w:b w:val="false"/>
          <w:bCs w:val="false"/>
          <w:sz w:val="20"/>
          <w:szCs w:val="20"/>
        </w:rPr>
        <w:t xml:space="preserve">FICA: Not applicable. WHCL is non-financial, non-transactional.</w:t>
      </w:r>
    </w:p>
    <w:p>
      <w:pPr>
        <w:pStyle w:val="ListParagraph"/>
        <w:numPr>
          <w:ilvl w:val="0"/>
          <w:numId w:val="2"/>
        </w:numPr>
        <w:spacing w:after="40" w:before="40"/>
      </w:pPr>
      <w:r>
        <w:rPr>
          <w:rFonts w:ascii="Arial" w:cs="Arial" w:eastAsia="Arial" w:hAnsi="Arial"/>
          <w:b w:val="false"/>
          <w:bCs w:val="false"/>
          <w:sz w:val="20"/>
          <w:szCs w:val="20"/>
        </w:rPr>
        <w:t xml:space="preserve">FAIS: Not applicable. No financial service, advice, or intermediation.</w:t>
      </w:r>
    </w:p>
    <w:p>
      <w:pPr>
        <w:pStyle w:val="ListParagraph"/>
        <w:numPr>
          <w:ilvl w:val="0"/>
          <w:numId w:val="2"/>
        </w:numPr>
        <w:spacing w:after="40" w:before="40"/>
      </w:pPr>
      <w:r>
        <w:rPr>
          <w:rFonts w:ascii="Arial" w:cs="Arial" w:eastAsia="Arial" w:hAnsi="Arial"/>
          <w:b w:val="false"/>
          <w:bCs w:val="false"/>
          <w:sz w:val="20"/>
          <w:szCs w:val="20"/>
        </w:rPr>
        <w:t xml:space="preserve">Property Practitioners Act: Not applicable. Platform is an introducer; heritage site associations by property sellers do not constitute property practitioner activity.</w:t>
      </w:r>
    </w:p>
    <w:p>
      <w:pPr>
        <w:pStyle w:val="ListParagraph"/>
        <w:numPr>
          <w:ilvl w:val="0"/>
          <w:numId w:val="2"/>
        </w:numPr>
        <w:spacing w:after="40" w:before="40"/>
      </w:pPr>
      <w:r>
        <w:rPr>
          <w:rFonts w:ascii="Arial" w:cs="Arial" w:eastAsia="Arial" w:hAnsi="Arial"/>
          <w:b w:val="false"/>
          <w:bCs w:val="false"/>
          <w:sz w:val="20"/>
          <w:szCs w:val="20"/>
        </w:rPr>
        <w:t xml:space="preserve">POPIA: No new obligations from WHCL. Heritage site data is public domain factual information.</w:t>
      </w:r>
    </w:p>
    <w:p>
      <w:pPr>
        <w:pStyle w:val="ListParagraph"/>
        <w:numPr>
          <w:ilvl w:val="0"/>
          <w:numId w:val="2"/>
        </w:numPr>
        <w:spacing w:after="40" w:before="40"/>
      </w:pPr>
      <w:r>
        <w:rPr>
          <w:rFonts w:ascii="Arial" w:cs="Arial" w:eastAsia="Arial" w:hAnsi="Arial"/>
          <w:b w:val="false"/>
          <w:bCs w:val="false"/>
          <w:sz w:val="20"/>
          <w:szCs w:val="20"/>
        </w:rPr>
        <w:t xml:space="preserve">CPA: Seller proximity disclaimer (EULA s.16.3) addresses misleading representation risk under s.29 CPA. Requires counsel confirmation.</w:t>
      </w:r>
    </w:p>
    <w:p>
      <w:pPr>
        <w:pBdr>
          <w:bottom w:val="single" w:color="DDDDDD" w:sz="4"/>
        </w:pBdr>
        <w:spacing w:after="120" w:before="120"/>
      </w:pPr>
    </w:p>
    <w:p>
      <w:pPr>
        <w:pStyle w:val="Heading1"/>
        <w:spacing w:after="120" w:before="360"/>
      </w:pPr>
      <w:r>
        <w:rPr>
          <w:rFonts w:ascii="Arial" w:cs="Arial" w:eastAsia="Arial" w:hAnsi="Arial"/>
          <w:b/>
          <w:bCs/>
          <w:color w:val="1E3A5F"/>
          <w:sz w:val="28"/>
          <w:szCs w:val="28"/>
        </w:rPr>
        <w:t xml:space="preserve">7.  Prioritised Counsel Action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26"/>
        <w:gridCol w:w="1400"/>
        <w:gridCol w:w="2000"/>
      </w:tblGrid>
      <w:tr>
        <w:tc>
          <w:tcPr>
            <w:tcW w:type="dxa" w:w="4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w:t>
            </w:r>
          </w:p>
        </w:tc>
        <w:tc>
          <w:tcPr>
            <w:tcW w:type="dxa" w:w="5226"/>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Owner</w:t>
            </w:r>
          </w:p>
        </w:tc>
        <w:tc>
          <w:tcPr>
            <w:tcW w:type="dxa" w:w="2000"/>
            <w:tcBorders>
              <w:top w:val="single" w:color="CCCCCC" w:sz="1"/>
              <w:left w:val="single" w:color="CCCCCC" w:sz="1"/>
              <w:bottom w:val="single" w:color="CCCCCC" w:sz="1"/>
              <w:right w:val="single" w:color="CCCCCC" w:sz="1"/>
            </w:tcBorders>
            <w:shd w:fill="1E3A5F" w:val="cle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does the combination of Claims 1 + 8 constitute a combination invention with a non-obvious inventive step under Patents Act s.25? If yes, include combination framing in provisional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Counsel</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Claim 8 independent language (Section 3.2). Confirm sufficiency, breadth, and distinguish from Airbnb / GetYourGuide prior art in claim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Counsel</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Assess Claim 9 (Section 5.2): viable independent method claim, or better as dependents on Claim 8? Advise scope.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Counsel</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FICA non-applicability and Tuppence non-virtual-asset characterisation in writing.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Counsel</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EULA Sections 16 and 17 (v1.1) — confirm enforceability, CPA s.29 compliance, CC BY-SA attribution obligations.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Counsel</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Advise on visible photo credit UI requirement for CC BY-SA Wikimedia Commons images in commercial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Counsel</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visible photo credit in wonder detail UI (author name from Wikimedia metadata).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TrustSquare dev</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92400E"/>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Expand wonders dataset for Wave 1 launch cities (New York, London, Sydney) — new heritage sites relevant to those markets.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TrustSquare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6B728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cost impact of WHCL on Cost_Breakdown_GlobalLaunch.xlsx (expected: zero additional cost — Wikimedia hotlinks, no R2 storage, no API fees).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David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6B7280"/>
                <w:sz w:val="18"/>
                <w:szCs w:val="18"/>
              </w:rPr>
              <w:t xml:space="preserve">MEDIUM</w:t>
            </w:r>
          </w:p>
        </w:tc>
      </w:tr>
    </w:tbl>
    <w:p>
      <w:pPr>
        <w:spacing w:before="240"/>
      </w:pPr>
    </w:p>
    <w:p>
      <w:pPr>
        <w:pBdr>
          <w:bottom w:val="single" w:color="DDDDDD" w:sz="4"/>
        </w:pBdr>
        <w:spacing w:after="120" w:before="120"/>
      </w:pPr>
    </w:p>
    <w:p>
      <w:pPr>
        <w:spacing w:after="60" w:before="60"/>
      </w:pPr>
      <w:r>
        <w:rPr>
          <w:rFonts w:ascii="Arial" w:cs="Arial" w:eastAsia="Arial" w:hAnsi="Arial"/>
          <w:i/>
          <w:iCs/>
          <w:color w:val="6B7280"/>
          <w:sz w:val="20"/>
          <w:szCs w:val="20"/>
        </w:rPr>
        <w:t xml:space="preserve">End of Addendum v2. Prepared by TrustSquare development session, 15 May 2026. Supersedes Patent Amendment v1.0. For attorney review and confirmation before provisional filing.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tabs>
        <w:tab w:val="right" w:pos="9026"/>
      </w:tabs>
    </w:pPr>
    <w:r>
      <w:rPr>
        <w:rFonts w:ascii="Arial" w:cs="Arial" w:eastAsia="Arial" w:hAnsi="Arial"/>
        <w:color w:val="6B7280"/>
        <w:sz w:val="16"/>
        <w:szCs w:val="16"/>
      </w:rPr>
      <w:t xml:space="preserve">PRIVILEGED AND CONFIDENTIAL  —  ATTORNEY WORK PRODUCT</w:t>
    </w:r>
    <w:r>
      <w:rPr>
        <w:rFonts w:ascii="Arial" w:cs="Arial" w:eastAsia="Arial" w:hAnsi="Arial"/>
        <w:color w:val="6B7280"/>
        <w:sz w:val="16"/>
        <w:szCs w:val="16"/>
      </w:rPr>
      <w:t xml:space="preserve">		TrustSquare Patent Amendment v2 — 15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887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2026-05-15T08:53:47.902Z</dcterms:created>
  <dcterms:modified xsi:type="dcterms:W3CDTF">2026-05-15T08:53:47.902Z</dcterms:modified>
</cp:coreProperties>
</file>

<file path=docProps/custom.xml><?xml version="1.0" encoding="utf-8"?>
<Properties xmlns="http://schemas.openxmlformats.org/officeDocument/2006/custom-properties" xmlns:vt="http://schemas.openxmlformats.org/officeDocument/2006/docPropsVTypes"/>
</file>