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TrustSquare — IP Brief v6 (DRAFT)</w:t>
      </w:r>
    </w:p>
    <w:p>
      <w:r>
        <w:t>Trustsquare (Pty) Ltd · Reg 2026/340128/07 · Director: David Maurice Conradie</w:t>
      </w:r>
    </w:p>
    <w:p>
      <w:r>
        <w:t>⚠ DRAFT staged by the 10 June 2026 CCP run (CC-001). v5 REMAINS CONTROLLING until David and patent counsel land this version. PRIVILEGED AND CONFIDENTIAL — ATTORNEY-CLIENT MATERIAL.</w:t>
      </w:r>
    </w:p>
    <w:p>
      <w:pPr>
        <w:pStyle w:val="Heading1"/>
      </w:pPr>
      <w:r>
        <w:t>0. What changes v5 → v6</w:t>
      </w:r>
    </w:p>
    <w:p>
      <w:r>
        <w:t>The Tuppence charge model is canonicalised as a HOLD: commit-on-request → burn-on-delivery → release-on-non-delivery (decline for introductions; failure for AI runs). Codex v4.8 §12 is the canon statement; the AI side is already live in production (BEA /tuppence/ai-commit + /tuppence/ai-settle, txn types ai_hold/ai_burn/ai_hold_released/ai_release, idempotent settle, atomic BEGIN IMMEDIATE).</w:t>
      </w:r>
    </w:p>
    <w:p>
      <w:r>
        <w:t>§1 platform overview corrections: “$2 per accepted introduction” → “$2 per delivered introduction (HOLD)”; AI services micro-payments corrected from “1–3 Tuppence per AI call” to the live registry range 2T–10T per use (AI_FUNCTIONS_SPEC v1.1).</w:t>
      </w:r>
    </w:p>
    <w:p>
      <w:r>
        <w:t>Claims C10–C13 added (drafts below) reciting the hold ledger. Claim 2 consequential redraft flagged: Element 2A’s “outcome-independent” recitation must become “commitment-irrevocable at request; burn conditional solely on delivery; release returns the un-spent hold without restitution logic” — counsel to confirm this PRESERVES the no-restitution/no-transfer recitations (Erratum 2026-05-12) while accommodating the release path.</w:t>
      </w:r>
    </w:p>
    <w:p>
      <w:r>
        <w:t>CPA s63 position IMPROVES (supersedes v5 §8.1’s burn-at-request framing): on decline the buyer’s hold is released in full, so the “buyer receives nothing on decline” limb falls away entirely; the “time-based forfeiture of unspent float” limb is unchanged (dormancy-expiry fix stands). Strict cash non-refundability is preserved throughout — a release frees un-spent Tuppence; it never converts to cash.</w:t>
      </w:r>
    </w:p>
    <w:p>
      <w:r>
        <w:t>S3 access-tier gate + non-rolling grant (added 17 Jun 2026, built same day; canon PRICING_CANON.md §5). The expensive paid-feed AI class is reserved to the $20 Pro tier, enforced at /tuppence/ai-commit before any hold is placed; and granted (non-purchased) Tuppence is non-rolling — unspent grant is swept to zero at each fresh monthly allocation via a grant_expiry ledger entry. Patent treatment (David ruling 17 Jun 2026): the grant sweep is recited as a further instance of the existing time-based expiry of unspent float (no new independent claim); it strengthens, not alters, the no-restitution/non-transfer recitations. The tier gate is a pricing-policy layer over the existing subscription-tier element, not a new claim.</w:t>
      </w:r>
    </w:p>
    <w:p>
      <w:pPr>
        <w:pStyle w:val="Heading1"/>
      </w:pPr>
      <w:r>
        <w:t>1. New claims C10–C13 (DRAFT for counsel — David lands canon)</w:t>
      </w:r>
    </w:p>
    <w:p>
      <w:r>
        <w:t>C10 (method — hold-gated service commitment). A method for metering access to heterogeneous marketplace services (human introductions; external-AI service invocations), comprising: atomically committing, at request time, a fixed quantum of a non-refundable, non-transferable platform value unit from the requester’s ledger balance into a hold state, the commitment being a precondition to service initiation; deterministically settling each hold to exactly one terminal state — burn upon verified delivery of the service, or release upon verified non-delivery — wherein settlement is idempotent (a settled hold rejects re-settlement) and every state transition is recorded as a typed, append-only ledger transaction.</w:t>
      </w:r>
    </w:p>
    <w:p>
      <w:r>
        <w:t>C11 (dependent on C10 — decline-release). Wherein, for introduction services, non-delivery comprises counterparty decline or expiry of a bounded response window, and release returns the held units to the requester’s balance without any restitution logic, inter-user transfer endpoint, or cash conversion path existing anywhere in the system.</w:t>
      </w:r>
    </w:p>
    <w:p>
      <w:r>
        <w:t>C12 (dependent on C10 — dual-trigger settlement). Wherein one and the same hold mechanism gates both human-counterparty services (settled by counterparty action) and machine-delivered services (settled by delivery verification), the settlement trigger being service-class-dependent while the ledger state machine is invariant.</w:t>
      </w:r>
    </w:p>
    <w:p>
      <w:r>
        <w:t>C13 (dependent on C10 — technical enforcement). Wherein commitment and settlement execute as single atomic database transactions (immediate-mode locking), each hold carries an idempotency key binding it to one service request, and the typed transaction set {hold, burn, hold_released, release} is the sole mechanism by which balances change — providing the tamper-evident commitment signal consumed by the trust-scoring subsystem.</w:t>
      </w:r>
    </w:p>
    <w:p>
      <w:r>
        <w:t>[DAVID: the CHANGE_REGISTER note “(reverse-auction = lead)” next to C10–C13 is ambiguous — confirm whether a reverse-auction/lead-marketplace distinction claim was intended as the C10 lead framing, and supply wording if so. Logged as AWAITING DAVID AD-14.]</w:t>
      </w:r>
    </w:p>
    <w:p>
      <w:pPr>
        <w:pStyle w:val="Heading1"/>
      </w:pPr>
      <w:r>
        <w:t>2. Consequential edits to the v5 schedule</w:t>
      </w:r>
    </w:p>
    <w:p>
      <w:r>
        <w:t>Claim 2 (Tuppence bundle): Element 2A redraft per §0. The “paid blind” recitation is STRENGTHENED by the hold — value is committed before any identifying disclosure, and the burn is provably delivery-conditional.</w:t>
      </w:r>
    </w:p>
    <w:p>
      <w:r>
        <w:t>Claim 7 (integrated platform, lead independent claim): the hold ledger is additional technical substance for the existence-gate/metering argument (US Alice step 2; EPO T1658/15) — recite the hold state machine as the access-control mechanism for external-LLM invocation, with C13’s atomicity/idempotency limitations available as dependent fallbacks.</w:t>
      </w:r>
    </w:p>
    <w:p>
      <w:r>
        <w:t>Restructuring guidance of v5 §6 stands: C10 folds under the Claim 7 family as the charging-mechanism spine; C11–C13 dependent. No new independent claims.</w:t>
      </w:r>
    </w:p>
    <w:p>
      <w:r>
        <w:t>Patent Strategy v4: see TrustSquare_IP_Patent_Strategy_v4_C10-13_Addendum_DRAFT.docx. Claim Visuals v2: add a C10–C13 hold-state-machine panel before filing (AD-11).</w:t>
      </w:r>
    </w:p>
    <w:p>
      <w:pPr>
        <w:pStyle w:val="Heading1"/>
      </w:pPr>
      <w:r>
        <w:t>3. Unchanged from v5</w:t>
      </w:r>
    </w:p>
    <w:p>
      <w:r>
        <w:t>Validity verdict, per-claim re-ratings, prior-art appendix, Pingsby action on C3, Banks Act NO-RISK confirmation, regulatory items other than the CPA s63 reframe, and all counsel actions §7 remain as in v5. File the SA provisional before any public disclosure; the provisional should now include C10–C13.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