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PROVISIONAL PATENT SPECIFICATION — DRAFT</w:t>
      </w:r>
    </w:p>
    <w:p>
      <w:r>
        <w:rPr>
          <w:b/>
          <w:color w:val="C02828"/>
          <w:sz w:val="20"/>
        </w:rPr>
        <w:t>⚠ DRAFT FOR COUNSEL REVIEW — NOT FILABLE UNTIL MARKED UP BY A REGISTERED SA PATENT ATTORNEY. Assembled 11 June 2026 from IP Brief v5/v6, Strategy v4 and Whitepaper v3.5. Claim 3 conditional on the Pingsby clearance read. PRIVILEGED &amp; CONFIDENTIAL.</w:t>
      </w:r>
    </w:p>
    <w:p>
      <w:pPr>
        <w:pStyle w:val="Heading1"/>
      </w:pPr>
      <w:r>
        <w:t>Title of Invention</w:t>
      </w:r>
    </w:p>
    <w:p>
      <w:r>
        <w:rPr>
          <w:i w:val="0"/>
          <w:sz w:val="21"/>
        </w:rPr>
        <w:t>A COMMITMENT-GATED ANONYMOUS-INTRODUCTION MARKETPLACE PLATFORM WITH A HOLD-SETTLED DUAL-USE VALUE UNIT METERING BOTH HUMAN INTRODUCTIONS AND EXTERNAL MACHINE-INFERENCE SERVICES</w:t>
      </w:r>
    </w:p>
    <w:p>
      <w:pPr>
        <w:pStyle w:val="Heading1"/>
      </w:pPr>
      <w:r>
        <w:t>Applicant / Inventor</w:t>
      </w:r>
    </w:p>
    <w:p>
      <w:r>
        <w:rPr>
          <w:i w:val="0"/>
          <w:sz w:val="21"/>
        </w:rPr>
        <w:t>Applicant: Trustsquare (Pty) Ltd, Reg 2026/340128/07, South Africa. Inventor: David Maurice Conradie. Forms P1 + P6 via iponline.cipc.co.za; official provisional fee ±R60.</w:t>
      </w:r>
    </w:p>
    <w:p>
      <w:pPr>
        <w:pStyle w:val="Heading1"/>
      </w:pPr>
      <w:r>
        <w:t>Field of the Invention</w:t>
      </w:r>
    </w:p>
    <w:p>
      <w:r>
        <w:rPr>
          <w:i w:val="0"/>
          <w:sz w:val="21"/>
        </w:rPr>
        <w:t>Networked marketplace systems; access control and metering of computational and human-mediated services; transactional database state machines; privacy-preserving identity disclosure protocols.</w:t>
      </w:r>
    </w:p>
    <w:p>
      <w:pPr>
        <w:pStyle w:val="Heading1"/>
      </w:pPr>
      <w:r>
        <w:t>Background</w:t>
      </w:r>
    </w:p>
    <w:p>
      <w:r>
        <w:rPr>
          <w:i w:val="0"/>
          <w:sz w:val="21"/>
        </w:rPr>
        <w:t>Existing marketplace platforms disclose seller identity and contact details either freely or upon registration. None require a buyer to make an irreversible commitment signal — surrendering a non-refundable unit of value — before any identifying information about the seller is disclosed; the result is a high volume of low-quality, uncommitted inquiries that burden sellers. Pay-to-contact platforms (e.g. Bark, Thumbtack) place the charge on the SELLER, transmitting buyer identity freely. Separately, marketplace platforms increasingly invoke external machine-inference (LLM) services whose per-invocation cost is unmetered and unbounded with respect to user identity and platform value; no known platform gates and meters BOTH its human-introduction service and its external machine-inference services through one and the same non-refundable, non-transferable value-unit ledger, settled by a delivery-conditional hold.</w:t>
      </w:r>
    </w:p>
    <w:p>
      <w:pPr>
        <w:pStyle w:val="Heading1"/>
      </w:pPr>
      <w:r>
        <w:t>Summary of the Invention</w:t>
      </w:r>
    </w:p>
    <w:p>
      <w:r>
        <w:rPr>
          <w:i w:val="0"/>
          <w:sz w:val="21"/>
        </w:rPr>
        <w:t>A marketplace platform comprising: (i) a single-table unified participation model in which buyer/seller role is derived from transaction state rather than stored; (ii) a platform-native, non-transferable, cash-non-refundable value unit ("Tuppence") committed by atomic HOLD at service request, burned only on verified delivery, and released in full on non-delivery; (iii) an anonymous-introduction protocol in which no party-identifying information is transmitted before bilateral consent; (iv) a server-computed composite trust score as the primary pre-commitment evaluation signal; (v) subscription-tier listing-slot enforcement applied server-side at publish time; (vi) an external machine-inference services layer in which each invocation is gated by a registered-user existence check and metered by the same hold ledger; and (vii) cost-governance instrumentation wherein every external-inference call passes a daily cost-ceiling pre-flight and writes a spend-log record. The combination of (ii) and (vi) — one value unit, one hold state machine, two service classes with class-dependent settlement triggers — is the inventive spine.</w:t>
      </w:r>
    </w:p>
    <w:p>
      <w:pPr>
        <w:pStyle w:val="Heading1"/>
      </w:pPr>
      <w:r>
        <w:t>Brief Description of the Figures</w:t>
      </w:r>
    </w:p>
    <w:p>
      <w:r>
        <w:rPr>
          <w:i w:val="0"/>
          <w:sz w:val="21"/>
        </w:rPr>
        <w:t>Figure 1: System architecture (FEA/BEA/AdvertAgent services, ledger). Figure 2: Hold state machine — {hold, burn, hold_released, release} as the sole mutation path for committed value. Figure 3: Anonymous-introduction sequence with commitment gate. Figure 4: Existence-gate + ceiling pre-flight around external-LLM invocation. Figure 5: Trust-score composition. Figure 6: Publish-time slot enforcement (HTTP 402). (Claim Visuals v2 + the C10–C13 hold panel constitute the figures.)</w:t>
      </w:r>
    </w:p>
    <w:p>
      <w:pPr>
        <w:pStyle w:val="Heading1"/>
      </w:pPr>
      <w:r>
        <w:t>Detailed Description (by reference)</w:t>
      </w:r>
    </w:p>
    <w:p>
      <w:r>
        <w:rPr>
          <w:i w:val="0"/>
          <w:sz w:val="21"/>
        </w:rPr>
        <w:t>The detailed description is constituted by Whitepaper v3.5 (sections 3.1–3.10: unified participation model; Tuppence hold currency; anonymous introduction protocol; trust-score architecture; subscription-tier slot enforcement; AI services layer with free Level-1 glimpse / hold-gated Level-2 split; AI guardrail architecture incl. existence gate; world-heritage content layer; AI inbound-communication triage; photo-first $0-first listing creation with guided capture and single-batched vision enrichment), which is annexed to and forms part of this specification. All described methods and schemas are implemented and live in production (trustsquare.co, BEA v1.3.x).</w:t>
      </w:r>
    </w:p>
    <w:p>
      <w:pPr>
        <w:pStyle w:val="Heading1"/>
      </w:pPr>
      <w:r>
        <w:t>Claims (DRAFT — two-anchor structure per IP Brief v5 §6 / v6)</w:t>
      </w:r>
    </w:p>
    <w:p>
      <w:pPr>
        <w:pStyle w:val="Heading2"/>
      </w:pPr>
      <w:r>
        <w:t>Independent Claim A (Claim 7 family — integrated platform)</w:t>
      </w:r>
    </w:p>
    <w:p>
      <w:r>
        <w:rPr>
          <w:i w:val="0"/>
          <w:sz w:val="21"/>
        </w:rPr>
        <w:t>A marketplace platform system comprising a unified single-table participation model wherein user role is derived from transaction state; a plurality of subscription tiers whose listing-slot limits are enforced server-side at publish time by rejecting over-limit publication with a payment-required response, the number and pricing of tiers being implementation detail; a platform-native value unit that is buyer-paid, fixed-quantum, non-transferable between users, and non-refundable in cash; an anonymous-introduction subsystem disclosing party-identifying information only upon bilateral consent; and an external machine-inference services subsystem; CHARACTERISED IN THAT one and the same value-unit ledger gates both the human-introduction service and each external machine-inference invocation, each service request atomically committing a hold of a fixed quantum, the hold burning solely on verified delivery and releasing in full on non-delivery, and each value-metered external machine-inference invocation being conditioned on an indexed registered-user existence check executed before any external call, and every external machine-inference invocation — metered or free-assist — being conditioned on a daily cost-ceiling pre-flight, with every invocation writing a typed spend record, whereby external-inference cost is bounded and metered by the same technical mechanism that meters human introductions.</w:t>
      </w:r>
    </w:p>
    <w:p>
      <w:pPr>
        <w:pStyle w:val="Heading2"/>
      </w:pPr>
      <w:r>
        <w:t>Independent Claim B (Claim 2 — commitment-unit bundle)</w:t>
      </w:r>
    </w:p>
    <w:p>
      <w:r>
        <w:rPr>
          <w:i w:val="0"/>
          <w:sz w:val="21"/>
        </w:rPr>
        <w:t>A method of charging for marketplace introductions comprising requiring a BUYER to commit, prior to any disclosure of seller-identifying information and blind as to the seller’s identity, a fixed, non-negotiable quantum of a platform-native value unit that is non-transferable between users (no transfer endpoint existing) and non-refundable in cash under any circumstance; wherein the commitment is irrevocable at request time; the committed quantum burns conditionally and solely upon delivery of the introduction by counterparty acceptance; and upon non-delivery by counterparty decline or expiry of a bounded response window the committed quantum is released to the buyer’s balance, the release returning only the un-burned hold and comprising no restitution logic; the charge thereby being distinguished on every axis from a referral, finder’s or commission fee (buyer-paid; fixed; pre-introduction; outcome-independent as to commercial result; non-refundable; paid blind).</w:t>
      </w:r>
    </w:p>
    <w:p>
      <w:pPr>
        <w:pStyle w:val="Heading2"/>
      </w:pPr>
      <w:r>
        <w:t>Dependent claims (DRAFT)</w:t>
      </w:r>
    </w:p>
    <w:p>
      <w:r>
        <w:rPr>
          <w:i w:val="0"/>
          <w:sz w:val="21"/>
        </w:rPr>
        <w:t>C1 (dep. A): wherein the unified participation model derives buyer and seller affordances from listing count and value-unit balance with no role column and no schema migration on role transition.</w:t>
      </w:r>
    </w:p>
    <w:p>
      <w:r>
        <w:rPr>
          <w:i w:val="0"/>
          <w:sz w:val="21"/>
        </w:rPr>
        <w:t>C3 (dep. A — CONDITIONAL on Pingsby clearance): wherein bilateral identity disclosure executes as an atomic, leak-free protocol with an ordering and consistency guarantee such that neither party’s identifying information is observable before the other’s consent is durably recorded.</w:t>
      </w:r>
    </w:p>
    <w:p>
      <w:r>
        <w:rPr>
          <w:i w:val="0"/>
          <w:sz w:val="21"/>
        </w:rPr>
        <w:t>C4 (dep. A): wherein the trust score is computed server-side from an evidence-based signal-points catalogue — each signal carrying a defined point value earned only upon evidence upload or platform-recorded behaviour — offset by a complaint-penalty subsystem applying a per-complaint diminishing penalty scale with time-decay of penalties, the score being mutable only through a server-side recompute path and writable by no user-facing endpoint.</w:t>
      </w:r>
    </w:p>
    <w:p>
      <w:r>
        <w:rPr>
          <w:i w:val="0"/>
          <w:sz w:val="21"/>
        </w:rPr>
        <w:t>C5 (dep. A): wherein listing visibility is gated through a four-level geographic hierarchy by subscription tier through data-access-layer query rewriting.</w:t>
      </w:r>
    </w:p>
    <w:p>
      <w:r>
        <w:rPr>
          <w:i w:val="0"/>
          <w:sz w:val="21"/>
        </w:rPr>
        <w:t>C6 (dep. A): wherein an immutable founding-cohort flag applies a bounded cold-start ordering boost per city.</w:t>
      </w:r>
    </w:p>
    <w:p>
      <w:r>
        <w:rPr>
          <w:i w:val="0"/>
          <w:sz w:val="21"/>
        </w:rPr>
        <w:t>C8 (dep. C1): wherein seller-linked structured place-metadata is surfaced as a non-transactional informational overlay on an anonymous listing with automatic proximity attachment.</w:t>
      </w:r>
    </w:p>
    <w:p>
      <w:r>
        <w:rPr>
          <w:i w:val="0"/>
          <w:sz w:val="21"/>
        </w:rPr>
        <w:t>C9 (dep. A): wherein inbound electronic communications are ingested through a shared-secret-authenticated gate and classified by a constrained inference call returning a typed structure, automatic response transmission being conditioned conjunctively on classifier confidence, an allow-listed category, and platform-invariant encoding in the inference instruction (never disclosing seller identity or contact routes).</w:t>
      </w:r>
    </w:p>
    <w:p>
      <w:r>
        <w:rPr>
          <w:i w:val="0"/>
          <w:sz w:val="21"/>
        </w:rPr>
        <w:t>C10 (dep. A): a method for metering access to heterogeneous marketplace services (human introductions; external machine-inference invocations) comprising atomically committing, at request time, a fixed quantum of a non-refundable, non-transferable platform value unit as a typed hold record bound to the request by an idempotency key.</w:t>
      </w:r>
    </w:p>
    <w:p>
      <w:r>
        <w:rPr>
          <w:i w:val="0"/>
          <w:sz w:val="21"/>
        </w:rPr>
        <w:t>C11 (dep. C10): wherein, for introduction services, non-delivery comprises counterparty decline or expiry of a bounded response window, and release returns the held units without restitution logic, inter-user transfer, or cash conversion.</w:t>
      </w:r>
    </w:p>
    <w:p>
      <w:r>
        <w:rPr>
          <w:i w:val="0"/>
          <w:sz w:val="21"/>
        </w:rPr>
        <w:t>C12 (dep. C10): wherein one and the same hold mechanism gates human-counterparty services (settled by counterparty action) and machine-delivered services (settled by delivery verification), the settlement trigger being service-class-dependent while the ledger state machine is invariant.</w:t>
      </w:r>
    </w:p>
    <w:p>
      <w:r>
        <w:rPr>
          <w:i w:val="0"/>
          <w:sz w:val="21"/>
        </w:rPr>
        <w:t>C13 (dep. C10): wherein commitment and settlement execute as single atomic database transactions under immediate-mode locking, and the typed transaction set {hold, burn, hold_released, release} is the sole mutation path for committed value.</w:t>
      </w:r>
    </w:p>
    <w:p>
      <w:pPr>
        <w:pStyle w:val="Heading1"/>
      </w:pPr>
      <w:r>
        <w:t>Abstract</w:t>
      </w:r>
    </w:p>
    <w:p>
      <w:r>
        <w:rPr>
          <w:i w:val="0"/>
          <w:sz w:val="21"/>
        </w:rPr>
        <w:t>A marketplace platform in which a buyer-paid, non-transferable, cash-non-refundable value unit gates both anonymous human introductions and external machine-inference services through a single hold-settled ledger: value is committed atomically at request, burned only on verified delivery, and released on non-delivery, with every external-inference invocation conditioned on a registered-user existence check and a daily cost-ceiling pre-flight. Seller identity is disclosed only on bilateral consent; trust is conveyed by a server-computed composite score; listing capacity is enforced server-side at publish time.</w:t>
      </w:r>
    </w:p>
    <w:p>
      <w:r>
        <w:rPr>
          <w:i/>
          <w:color w:val="606060"/>
          <w:sz w:val="19"/>
        </w:rPr>
        <w:t>Assembly notes for counsel: (1) Claim A recites tiers tier-agnostically — the legacy five-tier recitation in earlier drafts is corrected. (2) Element 2A redraft per IP Brief v6 §0 is incorporated in Claim B — verify the release path cannot be read as restitution. (3) AD-14 (reverse-auction/lead framing on C10) remains open for David. (4) Whitepaper v3.5 DRAFT is the annexed description; land it with v6 before filing. (5) GROUND-TRUTH AUDIT 11 Jun: trust score recited per the implemented signal-points architecture (the ≤v3.4 fixed-weight composite was never the implemented design); existence-gate recitation narrowed to value-metered invocations (free $0-first listing assists are ceiling-gated by design); current EULA dormancy term is 24 months with an internal inconsistency (§5.3 "no expiry" vs §6.3 "24 months") — both the CPA s63 extension to ≥36 months and the inconsistency fix are staged pre-launch changes; founders-cohort qualifying mechanism under canon revision after tier simplification (boost mechanism unchanged).</w:t>
      </w:r>
    </w:p>
    <w:p>
      <w:r>
        <w:t>(S3 update, 17 Jun 2026) The detailed description (Whitepaper v3.5 §3.2, §3.5) now includes: (a) the non-rolling grant property — unspent granted Tuppence is swept at each monthly allocation, recited as a further instance of the existing time-based expiry of unspent float, NOT a new claim (David ruling); and (b) the paid-feed AI-class tier gate as a cost-integrity guardrail within the protected subscription/AI-services/guardrail combination. No claim text changes; Element 2A and C10–C13 unaffected.</w:t>
      </w:r>
    </w:p>
    <w:p>
      <w:r>
        <w:rPr>
          <w:i/>
          <w:color w:val="606060"/>
          <w:sz w:val="17"/>
        </w:rPr>
        <w:t>Document version: v1.1 DRAFT · 11 June 2026 · v1.0 assembled from IP Brief v5/v6 + Whitepaper v3.5; v1.1 ground-truth audit (C4 rewritten to implemented trust architecture; Claim A existence-gate recitation narrowed to value-metered invocations; assembly-note ground-truth addendum). Baseline: BEA v1.3.x production code as at 11 Jun 2026, CHANGELOG Session 135h.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