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/>
      </w:pPr>
      <w:r>
        <w:rPr>
          <w:rFonts w:ascii="Calibri" w:cs="Calibri" w:eastAsia="Calibri" w:hAnsi="Calibri"/>
          <w:b/>
          <w:bCs/>
          <w:color w:val="B8862F"/>
          <w:spacing w:val="60"/>
          <w:sz w:val="18"/>
          <w:szCs w:val="18"/>
        </w:rPr>
        <w:t xml:space="preserve">TRUSTSQUARE · SOLAR COUNCIL CANON</w:t>
      </w:r>
    </w:p>
    <w:p>
      <w:pPr>
        <w:spacing w:after="26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Canon Addendum №1 — The Founders Badge &amp; Launch Special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B6478"/>
          <w:sz w:val="22"/>
          <w:szCs w:val="22"/>
        </w:rPr>
        <w:t xml:space="preserve">Final terms, the restored $2 anchor, the Ruby Spark, and the supersessions that bring every canonical document in line</w:t>
      </w:r>
    </w:p>
    <w:p>
      <w:pPr>
        <w:spacing w:after="0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6 June 2026 (rev 2 — allocations re-synced to the $2 anchor) · Owner: David · To be folded into the next versions of the Codex (v4.7→), WhitePaper (v3.4→), IP Brief (v5→) and EULA (v1.5→v1.6)</w:t>
      </w:r>
    </w:p>
    <w:p>
      <w:pPr>
        <w:pBdr>
          <w:bottom w:val="single" w:color="B8862F" w:sz="18" w:space="6"/>
        </w:pBdr>
        <w:spacing w:after="160"/>
      </w:pPr>
    </w:p>
    <w:tbl>
      <w:tblPr>
        <w:tblW w:type="dxa" w:w="9640"/>
        <w:tblBorders>
          <w:top w:val="single" w:color="9A6212" w:sz="4"/>
          <w:left w:val="single" w:color="9A6212" w:sz="4"/>
          <w:bottom w:val="single" w:color="9A6212" w:sz="4"/>
          <w:right w:val="single" w:color="9A6212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BF1D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6212"/>
                <w:sz w:val="21"/>
                <w:szCs w:val="21"/>
              </w:rPr>
              <w:t xml:space="preserve">Standing of this document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21"/>
                <w:szCs w:val="21"/>
              </w:rPr>
              <w:t xml:space="preserve">TrustSquare WhitePaper v2 (21 April 2026) is a published defensive disclosure and is never edited.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21"/>
                <w:szCs w:val="21"/>
              </w:rPr>
              <w:t xml:space="preserve"> Its §9 architectural-enforcement principles — identity binding, non-transferability, permanent closure of the minting window, no administrative override — are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21"/>
                <w:szCs w:val="21"/>
              </w:rPr>
              <w:t xml:space="preserve">reaffirmed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21"/>
                <w:szCs w:val="21"/>
              </w:rPr>
              <w:t xml:space="preserve">, and so is its founding economic principle: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21"/>
                <w:szCs w:val="21"/>
              </w:rPr>
              <w:t xml:space="preserve">1 Tuppence = US $2.00, fixed, for every user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21"/>
                <w:szCs w:val="21"/>
              </w:rPr>
              <w:t xml:space="preserve">. What this addendum supersedes in §9 is narrow: the AI-Guidance exchange-rate advantage (retired with the AI-uses model), the $15 International qualifying tier, and the launch-day-only window. Every other canonical document is silent on the special and is brought in line by this addendum until its next version absorbs it.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 · The Launch Special — final terms</w:t>
      </w:r>
    </w:p>
    <w:tbl>
      <w:tblPr>
        <w:tblW w:type="dxa" w:w="9640"/>
        <w:tblBorders>
          <w:top w:val="single" w:color="D7DEEA" w:sz="1"/>
          <w:left w:val="single" w:color="D7DEEA" w:sz="1"/>
          <w:bottom w:val="single" w:color="D7DEEA" w:sz="1"/>
          <w:right w:val="single" w:color="D7DEEA" w:sz="1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shd w:fill="1E3A5F" w:color="auto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40"/>
            <w:shd w:fill="1E3A5F" w:color="auto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 position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The $2 anchor (restored)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1 Tuppence = $2, always.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Every paid tier returns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exactly its full price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in Tuppence each month — the same generosity ratio for every subscriber, no tier arbitrage. The pitch: *your subscription comes back to you in Tuppence; the slots and features are what you're buying.*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Monthly allocations (locked)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$0 Free: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2 slots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$12 Standard: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10 slots · 6 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$20 Professional: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25 slots · 10 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$40 Business: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60 slots · 20 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$100 Elite: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500 slots · 50 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. Tuppence is spendable on introductions or any app feature; slots never accumulate.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Qualifying action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Subscribe to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$40 Business or $100 Elite tier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during the launch window, redeeming a launch number. Standard and Professional subscriptions do not mint the badge.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Window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Launch day → the end of the launch month.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The final, once-ever closing — the minting code is disabled at close and the special is never repeated, at any price, in any promotion.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Advantage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20% bonus Tuppence on any paid plan, every month, for life — rounded 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: Standard 6→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Professional 10→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Business 20→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24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· Elite 50→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60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. Once minted, the badge honours every later state: downgrade to Standard and the 8 T applies; pause for a year and return, and it applies again. Free stays free — no bonus; the badge waits.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Listing-slot caps are unchanged by the badge.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Unique, database-controlled numbers (`TSL-XXXX-XXXX-CCCC`, HMAC-tagged). Individual email → one number, one person, one ID. Agency email → one agency number;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each registered agent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redeems it once against their own ID.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Identity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Bound to the holder's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verified identity as a salted hash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(the KYC flow verifies the real ID; the raw number is never stored in the programme tables). One human, one badge, forever.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Slots vs Tuppence (clarity canon)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Listing slots = a capacity ceiling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— the maximum adverts live at any moment; a constant of the tier, never added month to month.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Tuppence = spendable currency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— granted monthly. The two must never be displayed as bare numbers without distinct labels, units and visuals (a slot METER — e.g. 41/60 used — versus a WALLET balance). The caps exist to incentivise upgrades and to bound listing volume.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Tiers (canon)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$0 · $12 · $20 · $40 · $100 per month.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The former $0/$5/$15 structure is retired and must appear nowhere.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AI model (canon)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“AI uses” no longer exist.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In-app AI guidance is free; advanced AI features are Tuppence-priced per use.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 · The mark — the Ruby Spark</w:t>
      </w:r>
    </w:p>
    <w:p>
      <w:pPr>
        <w:spacing w:after="120" w:before="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A four-point star, outer </w:t>
      </w:r>
      <w:r>
        <w:rPr>
          <w:rFonts w:ascii="Calibri" w:cs="Calibri" w:eastAsia="Calibri" w:hAnsi="Calibri"/>
          <w:b/>
          <w:bCs/>
          <w:i w:val="false"/>
          <w:iCs w:val="false"/>
          <w:color w:val="1A2433"/>
          <w:sz w:val="21"/>
          <w:szCs w:val="21"/>
        </w:rPr>
        <w:t xml:space="preserve">#B3362E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, inner </w:t>
      </w:r>
      <w:r>
        <w:rPr>
          <w:rFonts w:ascii="Calibri" w:cs="Calibri" w:eastAsia="Calibri" w:hAnsi="Calibri"/>
          <w:b/>
          <w:bCs/>
          <w:i w:val="false"/>
          <w:iCs w:val="false"/>
          <w:color w:val="1A2433"/>
          <w:sz w:val="21"/>
          <w:szCs w:val="21"/>
        </w:rPr>
        <w:t xml:space="preserve">#F59A93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, rendered at 16px (asset: `static/founders_spark.svg`). </w:t>
      </w:r>
      <w:r>
        <w:rPr>
          <w:rFonts w:ascii="Calibri" w:cs="Calibri" w:eastAsia="Calibri" w:hAnsi="Calibri"/>
          <w:b/>
          <w:bCs/>
          <w:i w:val="false"/>
          <w:iCs w:val="false"/>
          <w:color w:val="1A2433"/>
          <w:sz w:val="21"/>
          <w:szCs w:val="21"/>
        </w:rPr>
        <w:t xml:space="preserve">Red is deliberately the only colour no trust tier owns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 (gold = Highly Trusted, green = Trusted, blue = Established), so the spark can never be mistaken for a trust grade — on the entire platform it means exactly one thing: this person was here at the founding.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Sits beside the trust chip on every listing card the holder owns, on the listing detail, and on the seller profile.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Tapping it shows a single line: *“Founders Badge · minted at launch 2026 — never minted again.”* </w:t>
      </w:r>
      <w:r>
        <w:rPr>
          <w:rFonts w:ascii="Calibri" w:cs="Calibri" w:eastAsia="Calibri" w:hAnsi="Calibri"/>
          <w:b/>
          <w:bCs/>
          <w:i w:val="false"/>
          <w:iCs w:val="false"/>
          <w:color w:val="1A2433"/>
          <w:sz w:val="21"/>
          <w:szCs w:val="21"/>
        </w:rPr>
        <w:t xml:space="preserve">No perks are listed anywhere in the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 — the cohort is closed, so a perks UI would be permanent clutter for everyone who can never join.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Benefits run silently server-side off the ID-hash; the holder's only private trace is one wallet-history line (e.g. “Founders bonus +4T”), visible to them alone.</w:t>
      </w:r>
    </w:p>
    <w:p>
      <w:pPr>
        <w:spacing w:after="60"/>
      </w:pPr>
    </w:p>
    <w:p>
      <w:pPr>
        <w:pStyle w:val="Heading1"/>
      </w:pPr>
      <w:r>
        <w:t xml:space="preserve">3 · Supersessions &amp; retirements</w:t>
      </w:r>
    </w:p>
    <w:tbl>
      <w:tblPr>
        <w:tblW w:type="dxa" w:w="9640"/>
        <w:tblBorders>
          <w:top w:val="single" w:color="D7DEEA" w:sz="1"/>
          <w:left w:val="single" w:color="D7DEEA" w:sz="1"/>
          <w:bottom w:val="single" w:color="D7DEEA" w:sz="1"/>
          <w:right w:val="single" w:color="D7DEEA" w:sz="1"/>
          <w:insideH w:val="single" w:color="auto" w:sz="4"/>
          <w:insideV w:val="single" w:color="auto" w:sz="4"/>
        </w:tblBorders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shd w:fill="1E3A5F" w:color="auto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7340"/>
            <w:shd w:fill="1E3A5F" w:color="auto" w:val="clear"/>
            <w:tcMar>
              <w:top w:type="dxa" w:w="85"/>
              <w:left w:type="dxa" w:w="140"/>
              <w:bottom w:type="dxa" w:w="85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WhitePaper v2 §9.4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AI-Guidance exchange-rate advantage (10-per-Tuppence vs 8)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superseded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by the rounded-up 20% Tuppence bonus above (the AI-uses model itself is retired). The fixed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$2 Tuppence principle is reaffirmed, not superseded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WhitePaper v2 §9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$15 International qualifying tier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$40 Business or $100 Elite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. Launch-day-only minting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end of the launch month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. Enforcement architecture unchanged and reaffirmed.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Same-day drafts (6 Jun)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Earlier allocation drafts quoting 10/25/60/500 Tuppence per month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superseded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by the price÷2 schedule (6/10/20/50), which restores the $2 anchor and keeps Tuppence scarce enough to stay a meaningful commitment signal.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Codex v4.2 item A7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Preliminary Free/$5/$15 buyer tiers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superseded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 by $0/$12/$20/$40/$100 (marked in the Codex Evolution Audit).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Outreach canon</w:t>
            </w:r>
          </w:p>
        </w:tc>
        <w:tc>
          <w:tcPr>
            <w:tcW w:type="dxa" w:w="7340"/>
            <w:shd w:fill="FFFFFF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The former “Founding agency/seller benefit” (featured-first + free listing marketing) →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replaced by the launch special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, which binds to people via their IDs, not to agencies. (Claim 6's first-60 cohort placement mechanic in the IP record is unaffected by this marketing change unless separately revised.)</w:t>
            </w:r>
          </w:p>
        </w:tc>
      </w:tr>
      <w:tr>
        <w:tc>
          <w:tcPr>
            <w:tcW w:type="dxa" w:w="230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433"/>
                <w:sz w:val="18"/>
                <w:szCs w:val="18"/>
              </w:rPr>
              <w:t xml:space="preserve">EULA v1.5 → v1.6 (for counsel)</w:t>
            </w:r>
          </w:p>
        </w:tc>
        <w:tc>
          <w:tcPr>
            <w:tcW w:type="dxa" w:w="7340"/>
            <w:shd w:fill="F4F6FA" w:color="auto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18"/>
                <w:szCs w:val="18"/>
              </w:rPr>
              <w:t xml:space="preserve">Add: the special's terms as above; the ID-hash processing basis (POPIA — verified ID hashed and salted, raw ID never stored in programme tables); the no-refund consistency note (the badge is an earned credential and the bonus an allocation uplift — never money, never refundable, never transferable); and the once-ever representation (the minting window closes permanently).</w:t>
            </w:r>
          </w:p>
        </w:tc>
      </w:tr>
    </w:tbl>
    <w:p>
      <w:pPr>
        <w:spacing w:after="60"/>
      </w:pPr>
    </w:p>
    <w:tbl>
      <w:tblPr>
        <w:tblW w:type="dxa" w:w="9640"/>
        <w:tblBorders>
          <w:top w:val="single" w:color="B3362E" w:sz="4"/>
          <w:left w:val="single" w:color="B3362E" w:sz="4"/>
          <w:bottom w:val="single" w:color="B3362E" w:sz="4"/>
          <w:right w:val="single" w:color="B3362E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shd w:fill="FBEC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62E"/>
                <w:sz w:val="21"/>
                <w:szCs w:val="21"/>
              </w:rPr>
              <w:t xml:space="preserve">The significance, in one paragraph (for every document that tells the story)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433"/>
                <w:sz w:val="21"/>
                <w:szCs w:val="21"/>
              </w:rPr>
              <w:t xml:space="preserve">The Founders Badge is the only artefact TrustSquare will ever mint exactly once. It cannot be bought after the window closes, cannot be transferred, cannot be re-issued, and confers its advantage for the holder's lifetime on the platform. It is not a discount voucher; it is a historical credential — proof of having been there when the marketplace began.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 · Implementation references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Issuing side (built, tested): `CityLauncher/emailer/launch_codes.py` — the closed number registry; env-gated email block live in all 14 outreach templates, each showing the ruby spark, the Business-or-Elite qualifying terms and the significance line.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Mark asset: `MarketSquare/static/founders_spark.svg`. Design provenance: `FOUNDERS_BADGE_SAMPLES.html` + `FOUNDERS_BADGE_SPARK_COLOURS.html`.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Redemption build (next, fully unblocked): validate number → bind ID-hash → mint badge → +20%-rounded-up allocation hook. Allocations locked: 6 / 10 / 20 / 50 T per month (badge: 8 / 12 / 24 / 60); slots 2 / 10 / 25 / 60 / 500, badge-invariant.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433"/>
          <w:sz w:val="21"/>
          <w:szCs w:val="21"/>
        </w:rPr>
        <w:t xml:space="preserve">Flood control (design note): the slot caps are the structural defence (even Elite is bounded at 500 live adverts); add a per-day new-listing velocity limit at build time so a cap cannot be dumped in one hour; bulk collections are steered to dealer/agency accounts (the agency layer), where curation is the norm. Capacity above 500 = multiple branch accounts (one branch ≈ one Elite); an Enterprise tier waits for real post-launch demand.</w:t>
      </w:r>
    </w:p>
    <w:p>
      <w:pPr>
        <w:spacing w:after="100"/>
      </w:pPr>
    </w:p>
    <w:p>
      <w:pPr>
        <w:spacing w:after="120" w:before="0" w:line="274"/>
      </w:pPr>
      <w:r>
        <w:rPr>
          <w:rFonts w:ascii="Calibri" w:cs="Calibri" w:eastAsia="Calibri" w:hAnsi="Calibri"/>
          <w:b w:val="false"/>
          <w:bCs w:val="false"/>
          <w:i/>
          <w:iCs/>
          <w:color w:val="5B6478"/>
          <w:sz w:val="19"/>
          <w:szCs w:val="19"/>
        </w:rPr>
        <w:t xml:space="preserve">This addendum (rev 2) is canon from 6 June 2026. Each named document absorbs it at its next version; until then, where any older text conflicts with this addendum, this addendum prevails.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8"/>
        <w:sz w:val="16"/>
        <w:szCs w:val="16"/>
      </w:rPr>
      <w:t xml:space="preserve">TrustSquare — Canon Addendum №1 rev 2 (Founders Badge &amp; Launch Special, 6 Jun 2026)   ·   page </w:t>
    </w:r>
    <w:r>
      <w:rPr>
        <w:rFonts w:ascii="Calibri" w:cs="Calibri" w:eastAsia="Calibri" w:hAnsi="Calibri"/>
        <w:color w:val="5B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B886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2026-06-06T12:41:50.399Z</dcterms:created>
  <dcterms:modified xsi:type="dcterms:W3CDTF">2026-06-06T12:41:50.400Z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