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F3864"/>
          <w:sz w:val="44"/>
        </w:rPr>
        <w:t>TrustSquare — IP Brief v6 (DRAFT)</w:t>
      </w:r>
    </w:p>
    <w:p>
      <w:pPr>
        <w:pBdr>
          <w:bottom w:val="single" w:sz="24" w:space="1" w:color="1F3864"/>
        </w:pBdr>
      </w:pPr>
    </w:p>
    <w:p>
      <w:pPr>
        <w:spacing w:after="200"/>
      </w:pPr>
      <w:r>
        <w:rPr>
          <w:rFonts w:ascii="Calibri" w:hAnsi="Calibri"/>
          <w:b w:val="0"/>
          <w:i/>
          <w:color w:val="595959"/>
          <w:sz w:val="20"/>
        </w:rPr>
        <w:t>Trustsquare (Pty) Ltd · Reg 2026/340128/07 · Director: David Maurice Conradie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  <w:tcBorders>
              <w:top w:val="single" w:sz="4" w:color="D9D9D9"/>
              <w:bottom w:val="single" w:sz="4" w:color="D9D9D9"/>
              <w:right w:val="single" w:sz="4" w:color="D9D9D9"/>
              <w:left w:val="single" w:sz="24" w:color="C55A11"/>
            </w:tcBorders>
          </w:tcPr>
          <w:p>
            <w:pPr>
              <w:spacing w:line="300" w:lineRule="auto"/>
            </w:pPr>
            <w:r>
              <w:rPr>
                <w:rFonts w:ascii="Calibri" w:hAnsi="Calibri"/>
                <w:b/>
                <w:i w:val="0"/>
                <w:color w:val="1F3864"/>
                <w:sz w:val="22"/>
              </w:rPr>
              <w:t xml:space="preserve">Draft — privileged:  </w:t>
            </w:r>
            <w:r>
              <w:rPr>
                <w:rFonts w:ascii="Calibri" w:hAnsi="Calibri"/>
                <w:b w:val="0"/>
                <w:i w:val="0"/>
                <w:color w:val="262626"/>
                <w:sz w:val="22"/>
              </w:rPr>
              <w:t>DRAFT staged by the 10 June 2026 CCP run (CC-001). v5 REMAINS CONTROLLING until David and patent counsel land this version. PRIVILEGED AND CONFIDENTIAL — ATTORNEY-CLIENT MATERIAL.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0. What changes v5 → v6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The Tuppence charge model is canonicalised as a HOLD: commit-on-request → burn-on-delivery → release-on-non-delivery (decline for introductions; failure for AI runs). Codex v4.8 §12 is the canon statement; the AI side is already live in production (BEA /tuppence/ai-commit + /tuppence/ai-settle, txn types ai_hold/ai_burn/ai_hold_released/ai_release, idempotent settle, atomic BEGIN IMMEDIATE).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§1 platform overview corrections: “$2 per accepted introduction” → “$2 per delivered introduction (HOLD)”; AI services micro-payments corrected from “1–3 Tuppence per AI call” to the live registry range 2T–10T per use (AI_FUNCTIONS_SPEC v1.1).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Claims C10–C13 added (drafts below) reciting the hold ledger. Claim 2 consequential redraft flagged: Element 2A’s “outcome-independent” recitation must become “commitment-irrevocable at request; burn conditional solely on delivery; release returns the un-spent hold without restitution logic” — counsel to confirm this PRESERVES the no-restitution/no-transfer recitations (Erratum 2026-05-12) while accommodating the release path.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CPA s63 position IMPROVES (supersedes v5 §8.1’s burn-at-request framing): on decline the buyer’s hold is released in full, so the “buyer receives nothing on decline” limb falls away entirely; the “time-based forfeiture of unspent float” limb is unchanged (dormancy-expiry fix stands). Strict cash non-refundability is preserved throughout — a release frees un-spent Tuppence; it never converts to cash.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S3 access-tier gate + non-rolling grant (added 17 Jun 2026, built same day; canon PRICING_CANON.md §5). The expensive paid-feed AI class is reserved to the $20 Pro tier, enforced at /tuppence/ai-commit before any hold is placed; and granted (non-purchased) Tuppence is non-rolling — unspent grant is swept to zero at each fresh monthly allocation via a grant_expiry ledger entry. Patent treatment (David ruling 17 Jun 2026): the grant sweep is recited as a further instance of the existing time-based expiry of unspent float (no new independent claim); it strengthens, not alters, the no-restitution/non-transfer recitations. The tier gate is a pricing-policy layer over the existing subscription-tier element, not a new claim.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1. New claims C10–C13 (DRAFT for counsel — David lands canon)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C10 (method — hold-gated service commitment).</w:t>
      </w:r>
      <w:r>
        <w:rPr>
          <w:rFonts w:ascii="Calibri" w:hAnsi="Calibri"/>
          <w:b w:val="0"/>
          <w:i w:val="0"/>
          <w:color w:val="262626"/>
          <w:sz w:val="22"/>
        </w:rPr>
        <w:t xml:space="preserve"> A method for metering access to heterogeneous marketplace services (human introductions; external-AI service invocations), comprising: atomically committing, at request time, a fixed quantum of a non-refundable, non-transferable platform value unit from the requester’s ledger balance into a hold state, the commitment being a precondition to service initiation; deterministically settling each hold to exactly one terminal state — burn upon verified delivery of the service, or release upon verified non-delivery — wherein settlement is idempotent (a settled hold rejects re-settlement) and every state transition is recorded as a typed, append-only ledger transaction.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C11 (dependent on C10 — decline-release).</w:t>
      </w:r>
      <w:r>
        <w:rPr>
          <w:rFonts w:ascii="Calibri" w:hAnsi="Calibri"/>
          <w:b w:val="0"/>
          <w:i w:val="0"/>
          <w:color w:val="262626"/>
          <w:sz w:val="22"/>
        </w:rPr>
        <w:t xml:space="preserve"> Wherein, for introduction services, non-delivery comprises counterparty decline or expiry of a bounded response window, and release returns the held units to the requester’s balance without any restitution logic, inter-user transfer endpoint, or cash conversion path existing anywhere in the system.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C12 (dependent on C10 — dual-trigger settlement).</w:t>
      </w:r>
      <w:r>
        <w:rPr>
          <w:rFonts w:ascii="Calibri" w:hAnsi="Calibri"/>
          <w:b w:val="0"/>
          <w:i w:val="0"/>
          <w:color w:val="262626"/>
          <w:sz w:val="22"/>
        </w:rPr>
        <w:t xml:space="preserve"> Wherein one and the same hold mechanism gates both human-counterparty services (settled by counterparty action) and machine-delivered services (settled by delivery verification), the settlement trigger being service-class-dependent while the ledger state machine is invariant.</w:t>
      </w:r>
    </w:p>
    <w:p>
      <w:pPr>
        <w:spacing w:after="160" w:line="312" w:lineRule="auto"/>
      </w:pPr>
      <w:r>
        <w:rPr>
          <w:rFonts w:ascii="Calibri" w:hAnsi="Calibri"/>
          <w:b/>
          <w:i w:val="0"/>
          <w:color w:val="1F3864"/>
          <w:sz w:val="22"/>
        </w:rPr>
        <w:t>C13 (dependent on C10 — technical enforcement).</w:t>
      </w:r>
      <w:r>
        <w:rPr>
          <w:rFonts w:ascii="Calibri" w:hAnsi="Calibri"/>
          <w:b w:val="0"/>
          <w:i w:val="0"/>
          <w:color w:val="262626"/>
          <w:sz w:val="22"/>
        </w:rPr>
        <w:t xml:space="preserve"> Wherein commitment and settlement execute as single atomic database transactions (immediate-mode locking), each hold carries an idempotency key binding it to one service request, and the typed transaction set {hold, burn, hold_released, release} is the sole mechanism by which balances change — providing the tamper-evident commitment signal consumed by the trust-scoring subsystem.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  <w:tcBorders>
              <w:top w:val="single" w:sz="4" w:color="D9D9D9"/>
              <w:bottom w:val="single" w:sz="4" w:color="D9D9D9"/>
              <w:right w:val="single" w:sz="4" w:color="D9D9D9"/>
              <w:left w:val="single" w:sz="24" w:color="2F5496"/>
            </w:tcBorders>
          </w:tcPr>
          <w:p>
            <w:pPr>
              <w:spacing w:line="300" w:lineRule="auto"/>
            </w:pPr>
            <w:r>
              <w:rPr>
                <w:rFonts w:ascii="Calibri" w:hAnsi="Calibri"/>
                <w:b/>
                <w:i w:val="0"/>
                <w:color w:val="1F3864"/>
                <w:sz w:val="22"/>
              </w:rPr>
              <w:t xml:space="preserve">Action — AD-14:  </w:t>
            </w:r>
            <w:r>
              <w:rPr>
                <w:rFonts w:ascii="Calibri" w:hAnsi="Calibri"/>
                <w:b w:val="0"/>
                <w:i w:val="0"/>
                <w:color w:val="262626"/>
                <w:sz w:val="22"/>
              </w:rPr>
              <w:t>[DAVID: the CHANGE_REGISTER note “(reverse-auction = lead)” next to C10–C13 is ambiguous — confirm whether a reverse-auction/lead-marketplace distinction claim was intended as the C10 lead framing, and supply wording if so. Logged as AWAITING DAVID AD-14.]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2. Consequential edits to the v5 schedule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Claim 2 (Tuppence bundle): Element 2A redraft per §0. The “paid blind” recitation is STRENGTHENED by the hold — value is committed before any identifying disclosure, and the burn is provably delivery-conditional.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Claim 7 (integrated platform, lead independent claim): the hold ledger is additional technical substance for the existence-gate/metering argument (US Alice step 2; EPO T1658/15) — recite the hold state machine as the access-control mechanism for external-LLM invocation, with C13’s atomicity/idempotency limitations available as dependent fallbacks.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Restructuring guidance of v5 §6 stands: C10 folds under the Claim 7 family as the charging-mechanism spine; C11–C13 dependent. No new independent claims.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Patent Strategy v4: see TrustSquare_IP_Patent_Strategy_v4_C10-13_Addendum_DRAFT.docx. Claim Visuals v2: add a C10–C13 hold-state-machine panel before filing (AD-11).</w:t>
      </w:r>
    </w:p>
    <w:p>
      <w:pPr>
        <w:spacing w:before="280" w:after="120"/>
      </w:pPr>
      <w:r>
        <w:rPr>
          <w:rFonts w:ascii="Calibri" w:hAnsi="Calibri"/>
          <w:b/>
          <w:i w:val="0"/>
          <w:color w:val="2F5496"/>
          <w:sz w:val="30"/>
        </w:rPr>
        <w:t>3. Unchanged from v5</w:t>
      </w:r>
    </w:p>
    <w:p>
      <w:pPr>
        <w:spacing w:after="160" w:line="312" w:lineRule="auto"/>
      </w:pPr>
      <w:r>
        <w:rPr>
          <w:rFonts w:ascii="Calibri" w:hAnsi="Calibri"/>
          <w:b w:val="0"/>
          <w:i w:val="0"/>
          <w:color w:val="262626"/>
          <w:sz w:val="22"/>
        </w:rPr>
        <w:t>Validity verdict, per-claim re-ratings, prior-art appendix, Pingsby action on C3, Banks Act NO-RISK confirmation, regulatory items other than the CPA s63 reframe, and all counsel actions §7 remain as in v5. File the SA provisional before any public disclosure; the provisional should now include C10–C13.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