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F3864"/>
          <w:sz w:val="44"/>
        </w:rPr>
        <w:t>Patent / Whitepaper / Legal — Alignment Analysis &amp; Launch Sequence</w:t>
      </w:r>
    </w:p>
    <w:p>
      <w:pPr>
        <w:pBdr>
          <w:bottom w:val="single" w:sz="24" w:space="1" w:color="1F3864"/>
        </w:pBdr>
      </w:pPr>
    </w:p>
    <w:p>
      <w:pPr>
        <w:spacing w:after="200"/>
      </w:pPr>
      <w:r>
        <w:rPr>
          <w:rFonts w:ascii="Calibri" w:hAnsi="Calibri"/>
          <w:b/>
          <w:i/>
          <w:color w:val="1F3864"/>
          <w:sz w:val="20"/>
        </w:rPr>
        <w:t>Date:</w:t>
      </w:r>
      <w:r>
        <w:rPr>
          <w:rFonts w:ascii="Calibri" w:hAnsi="Calibri"/>
          <w:b w:val="0"/>
          <w:i/>
          <w:color w:val="595959"/>
          <w:sz w:val="20"/>
        </w:rPr>
        <w:t xml:space="preserve"> 29 Jun 2026 · </w:t>
      </w:r>
      <w:r>
        <w:rPr>
          <w:rFonts w:ascii="Calibri" w:hAnsi="Calibri"/>
          <w:b/>
          <w:i/>
          <w:color w:val="1F3864"/>
          <w:sz w:val="20"/>
        </w:rPr>
        <w:t>Purpose:</w:t>
      </w:r>
      <w:r>
        <w:rPr>
          <w:rFonts w:ascii="Calibri" w:hAnsi="Calibri"/>
          <w:b w:val="0"/>
          <w:i/>
          <w:color w:val="595959"/>
          <w:sz w:val="20"/>
        </w:rPr>
        <w:t xml:space="preserve"> get the filing pack in line with the app's </w:t>
      </w:r>
      <w:r>
        <w:rPr>
          <w:rFonts w:ascii="Calibri" w:hAnsi="Calibri"/>
          <w:b w:val="0"/>
          <w:i/>
          <w:color w:val="595959"/>
          <w:sz w:val="20"/>
        </w:rPr>
        <w:t>current</w:t>
      </w:r>
      <w:r>
        <w:rPr>
          <w:rFonts w:ascii="Calibri" w:hAnsi="Calibri"/>
          <w:b w:val="0"/>
          <w:i/>
          <w:color w:val="595959"/>
          <w:sz w:val="20"/>
        </w:rPr>
        <w:t xml:space="preserve"> status and the planned launch (self-filing the SA provisional; not a counsel hand-off). · </w:t>
      </w:r>
      <w:r>
        <w:rPr>
          <w:rFonts w:ascii="Calibri" w:hAnsi="Calibri"/>
          <w:b/>
          <w:i/>
          <w:color w:val="1F3864"/>
          <w:sz w:val="20"/>
        </w:rPr>
        <w:t>Author:</w:t>
      </w:r>
      <w:r>
        <w:rPr>
          <w:rFonts w:ascii="Calibri" w:hAnsi="Calibri"/>
          <w:b w:val="0"/>
          <w:i/>
          <w:color w:val="595959"/>
          <w:sz w:val="20"/>
        </w:rPr>
        <w:t xml:space="preserve"> Claude (working session)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Verdict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 xml:space="preserve">The pack is </w:t>
      </w:r>
      <w:r>
        <w:rPr>
          <w:rFonts w:ascii="Calibri" w:hAnsi="Calibri"/>
          <w:b/>
          <w:i w:val="0"/>
          <w:color w:val="1F3864"/>
          <w:sz w:val="22"/>
        </w:rPr>
        <w:t>fileable as a provisional now.</w:t>
      </w:r>
      <w:r>
        <w:rPr>
          <w:rFonts w:ascii="Calibri" w:hAnsi="Calibri"/>
          <w:b w:val="0"/>
          <w:i w:val="0"/>
          <w:color w:val="262626"/>
          <w:sz w:val="22"/>
        </w:rPr>
        <w:t xml:space="preserve"> The three documents already describe only what is </w:t>
      </w:r>
      <w:r>
        <w:rPr>
          <w:rFonts w:ascii="Calibri" w:hAnsi="Calibri"/>
          <w:b/>
          <w:i w:val="0"/>
          <w:color w:val="1F3864"/>
          <w:sz w:val="22"/>
        </w:rPr>
        <w:t>live in production</w:t>
      </w:r>
      <w:r>
        <w:rPr>
          <w:rFonts w:ascii="Calibri" w:hAnsi="Calibri"/>
          <w:b w:val="0"/>
          <w:i w:val="0"/>
          <w:color w:val="262626"/>
          <w:sz w:val="22"/>
        </w:rPr>
        <w:t xml:space="preserve"> and correctly scope out what is staged. The convergence loop (23 Jun) drove all machine-fixable defects to Δ=0; what remained were </w:t>
      </w:r>
      <w:r>
        <w:rPr>
          <w:rFonts w:ascii="Calibri" w:hAnsi="Calibri"/>
          <w:b/>
          <w:i w:val="0"/>
          <w:color w:val="1F3864"/>
          <w:sz w:val="22"/>
        </w:rPr>
        <w:t>7 counsel items</w:t>
      </w:r>
      <w:r>
        <w:rPr>
          <w:rFonts w:ascii="Calibri" w:hAnsi="Calibri"/>
          <w:b w:val="0"/>
          <w:i w:val="0"/>
          <w:color w:val="262626"/>
          <w:sz w:val="22"/>
        </w:rPr>
        <w:t xml:space="preserve">, and — importantly — </w:t>
      </w:r>
      <w:r>
        <w:rPr>
          <w:rFonts w:ascii="Calibri" w:hAnsi="Calibri"/>
          <w:b/>
          <w:i w:val="0"/>
          <w:color w:val="1F3864"/>
          <w:sz w:val="22"/>
        </w:rPr>
        <w:t>those are complete-specification / prosecution concerns, not blockers to getting the provisional on file.</w:t>
      </w:r>
      <w:r>
        <w:rPr>
          <w:rFonts w:ascii="Calibri" w:hAnsi="Calibri"/>
          <w:b w:val="0"/>
          <w:i w:val="0"/>
          <w:color w:val="262626"/>
          <w:sz w:val="22"/>
        </w:rPr>
        <w:t xml:space="preserve"> A SA provisional only has to </w:t>
      </w:r>
      <w:r>
        <w:rPr>
          <w:rFonts w:ascii="Calibri" w:hAnsi="Calibri"/>
          <w:b w:val="0"/>
          <w:i/>
          <w:color w:val="262626"/>
          <w:sz w:val="22"/>
        </w:rPr>
        <w:t>fairly describe</w:t>
      </w:r>
      <w:r>
        <w:rPr>
          <w:rFonts w:ascii="Calibri" w:hAnsi="Calibri"/>
          <w:b w:val="0"/>
          <w:i w:val="0"/>
          <w:color w:val="262626"/>
          <w:sz w:val="22"/>
        </w:rPr>
        <w:t xml:space="preserve"> the invention (claims are optional at this stage); the annexed whitepaper does that richly. Two small alignment defects existed and are now </w:t>
      </w:r>
      <w:r>
        <w:rPr>
          <w:rFonts w:ascii="Calibri" w:hAnsi="Calibri"/>
          <w:b/>
          <w:i w:val="0"/>
          <w:color w:val="1F3864"/>
          <w:sz w:val="22"/>
        </w:rPr>
        <w:t>fixed</w:t>
      </w:r>
      <w:r>
        <w:rPr>
          <w:rFonts w:ascii="Calibri" w:hAnsi="Calibri"/>
          <w:b w:val="0"/>
          <w:i w:val="0"/>
          <w:color w:val="262626"/>
          <w:sz w:val="22"/>
        </w:rPr>
        <w:t xml:space="preserve"> (below).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1. Are the documents in line with the app + planned launch?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 (canonical)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 line?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Finding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Provisional Spec — FILING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3864"/>
                <w:sz w:val="18"/>
              </w:rPr>
              <w:t>patent-loop/…_FILING.docx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Yes, after 1 fix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Summary/description claim only live mechanisms (unified model, hold-settled Tuppence ledger, anonymous intro, signal-points trust score, 402 slot-gate, existence-gated/ceiling AI). Staged items (≥36-mo dormancy, founders qualifier) correctly excluded as "not in force at priority date."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Defect: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Detailed-Description annex pointed at whitepaper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v3.8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while the published whitepaper is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v3.11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. → fixed.</w:t>
            </w:r>
          </w:p>
        </w:tc>
      </w:tr>
      <w:tr>
        <w:tc>
          <w:tcPr>
            <w:tcW w:type="dxa" w:w="2880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Whitepaper — PUBLICATION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3864"/>
                <w:sz w:val="18"/>
              </w:rPr>
              <w:t>patent-loop/…_PUBLICATION.docx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)</w:t>
            </w:r>
          </w:p>
        </w:tc>
        <w:tc>
          <w:tcPr>
            <w:tcW w:type="dxa" w:w="2880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Yes, after 2 fixes</w:t>
            </w:r>
          </w:p>
        </w:tc>
        <w:tc>
          <w:tcPr>
            <w:tcW w:type="dxa" w:w="2880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Accurately mirrors the live platform (BEA v1.3.x, AI triage live, photo-first $0-first, world-heritage layer, 10 AI fns).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Defect A (important):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§9 said "file with CIPC on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Day 0 (launch day)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" — contradicts its own footer ("not for distribution until after filing") and the novelty rule. → fixed to </w:t>
            </w:r>
            <w:r>
              <w:rPr>
                <w:rFonts w:ascii="Calibri" w:hAnsi="Calibri"/>
                <w:b w:val="0"/>
                <w:i/>
                <w:color w:val="262626"/>
                <w:sz w:val="20"/>
              </w:rPr>
              <w:t>file first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.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Defect B: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§8 payments said "Paddle/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Stripe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"; current posture (STATUS) is Paddle/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Lemon Squeezy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for intl (Stripe-direct blocked) + Paystack for SA. → fixed.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IP Brief v6 (DRAFT)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3864"/>
                <w:sz w:val="18"/>
              </w:rPr>
              <w:t>Patents/…_IP_Brief_v6_DRAFT.docx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Aligned;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no Claude edit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Counsel-gated;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v5 remains controlling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until landed. Already reflects live status (C10–C13 recite the live hold ledger: </w:t>
            </w:r>
            <w:r>
              <w:rPr>
                <w:rFonts w:ascii="Consolas" w:hAnsi="Consolas"/>
                <w:b w:val="0"/>
                <w:i w:val="0"/>
                <w:color w:val="1F3864"/>
                <w:sz w:val="18"/>
              </w:rPr>
              <w:t>ai_hold/ai_burn/ai_hold_released/ai_release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, idempotent settle, BEGIN IMMEDIATE). The only open item is a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David decision (AD-14)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, not a text fix — see §3. Claim-text is a counsel/David call; not machine-edited by design.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2. Edits applied (reversible; backed up; re-opened &amp; verified clean)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Provisional Spec FILING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annex pointer </w:t>
            </w:r>
            <w:r>
              <w:rPr>
                <w:rFonts w:ascii="Consolas" w:hAnsi="Consolas"/>
                <w:b w:val="0"/>
                <w:i w:val="0"/>
                <w:color w:val="1F3864"/>
                <w:sz w:val="18"/>
              </w:rPr>
              <w:t>whitepaper v3.8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F3864"/>
                <w:sz w:val="18"/>
              </w:rPr>
              <w:t>v3.11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(matches the doc actually annexed/published)</w:t>
            </w:r>
          </w:p>
        </w:tc>
      </w:tr>
      <w:tr>
        <w:tc>
          <w:tcPr>
            <w:tcW w:type="dxa" w:w="2880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B1</w:t>
            </w:r>
          </w:p>
        </w:tc>
        <w:tc>
          <w:tcPr>
            <w:tcW w:type="dxa" w:w="2880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Whitepaper PUBLICATION</w:t>
            </w:r>
          </w:p>
        </w:tc>
        <w:tc>
          <w:tcPr>
            <w:tcW w:type="dxa" w:w="2880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§9 "file on Day 0 (launch day)" →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"file FIRST — before publication or launch; publishing before filing forfeits novelty"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Whitepaper PUBLICATION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§8 "Merchant of Record (Paddle/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Stripe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)…" → "(Paddle / </w:t>
            </w: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Lemon Squeezy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)…" + SA via Paystack (current posture)</w:t>
            </w:r>
          </w:p>
        </w:tc>
      </w:tr>
    </w:tbl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 xml:space="preserve">Backups: </w:t>
      </w:r>
      <w:r>
        <w:rPr>
          <w:rFonts w:ascii="Consolas" w:hAnsi="Consolas"/>
          <w:b w:val="0"/>
          <w:i w:val="0"/>
          <w:color w:val="1F3864"/>
          <w:sz w:val="20"/>
        </w:rPr>
        <w:t>*.docx.bak-align-&lt;ts&gt;</w:t>
      </w:r>
      <w:r>
        <w:rPr>
          <w:rFonts w:ascii="Calibri" w:hAnsi="Calibri"/>
          <w:b w:val="0"/>
          <w:i w:val="0"/>
          <w:color w:val="262626"/>
          <w:sz w:val="22"/>
        </w:rPr>
        <w:t xml:space="preserve"> beside each file (restore = </w:t>
      </w:r>
      <w:r>
        <w:rPr>
          <w:rFonts w:ascii="Consolas" w:hAnsi="Consolas"/>
          <w:b w:val="0"/>
          <w:i w:val="0"/>
          <w:color w:val="1F3864"/>
          <w:sz w:val="20"/>
        </w:rPr>
        <w:t>cp backup file</w:t>
      </w:r>
      <w:r>
        <w:rPr>
          <w:rFonts w:ascii="Calibri" w:hAnsi="Calibri"/>
          <w:b w:val="0"/>
          <w:i w:val="0"/>
          <w:color w:val="262626"/>
          <w:sz w:val="22"/>
        </w:rPr>
        <w:t>).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3. Your calls before filing (genuinely David's — not Claude's to guess)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 xml:space="preserve">1. </w:t>
      </w:r>
      <w:r>
        <w:rPr>
          <w:rFonts w:ascii="Calibri" w:hAnsi="Calibri"/>
          <w:b/>
          <w:i w:val="0"/>
          <w:color w:val="1F3864"/>
          <w:sz w:val="22"/>
        </w:rPr>
        <w:t>AD-14</w:t>
      </w:r>
      <w:r>
        <w:rPr>
          <w:rFonts w:ascii="Calibri" w:hAnsi="Calibri"/>
          <w:b w:val="0"/>
          <w:i w:val="0"/>
          <w:color w:val="262626"/>
          <w:sz w:val="22"/>
        </w:rPr>
        <w:t xml:space="preserve"> — the IP Brief flags an ambiguous CHANGE_REGISTER note "(reverse-auction = lead)" next to C10–C13. Decide whether a reverse-auction/lead-marketplace distinction was intended as the C10 framing. </w:t>
      </w:r>
      <w:r>
        <w:rPr>
          <w:rFonts w:ascii="Calibri" w:hAnsi="Calibri"/>
          <w:b w:val="0"/>
          <w:i/>
          <w:color w:val="262626"/>
          <w:sz w:val="22"/>
        </w:rPr>
        <w:t>Not a provisional blocker</w:t>
      </w:r>
      <w:r>
        <w:rPr>
          <w:rFonts w:ascii="Calibri" w:hAnsi="Calibri"/>
          <w:b w:val="0"/>
          <w:i w:val="0"/>
          <w:color w:val="262626"/>
          <w:sz w:val="22"/>
        </w:rPr>
        <w:t xml:space="preserve"> — C10–C13 are drafts; the provisional is valid without final claim wording.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 xml:space="preserve">2. </w:t>
      </w:r>
      <w:r>
        <w:rPr>
          <w:rFonts w:ascii="Calibri" w:hAnsi="Calibri"/>
          <w:b/>
          <w:i w:val="0"/>
          <w:color w:val="1F3864"/>
          <w:sz w:val="22"/>
        </w:rPr>
        <w:t>CIPC fee</w:t>
      </w:r>
      <w:r>
        <w:rPr>
          <w:rFonts w:ascii="Calibri" w:hAnsi="Calibri"/>
          <w:b w:val="0"/>
          <w:i w:val="0"/>
          <w:color w:val="262626"/>
          <w:sz w:val="22"/>
        </w:rPr>
        <w:t xml:space="preserve"> — doc cites </w:t>
      </w:r>
      <w:r>
        <w:rPr>
          <w:rFonts w:ascii="Calibri" w:hAnsi="Calibri"/>
          <w:b/>
          <w:i w:val="0"/>
          <w:color w:val="1F3864"/>
          <w:sz w:val="22"/>
        </w:rPr>
        <w:t>R590</w:t>
      </w:r>
      <w:r>
        <w:rPr>
          <w:rFonts w:ascii="Calibri" w:hAnsi="Calibri"/>
          <w:b w:val="0"/>
          <w:i w:val="0"/>
          <w:color w:val="262626"/>
          <w:sz w:val="22"/>
        </w:rPr>
        <w:t xml:space="preserve">; a third-party source suggested the provisional official fee may be lower (≈R60) with R590 for </w:t>
      </w:r>
      <w:r>
        <w:rPr>
          <w:rFonts w:ascii="Calibri" w:hAnsi="Calibri"/>
          <w:b w:val="0"/>
          <w:i/>
          <w:color w:val="262626"/>
          <w:sz w:val="22"/>
        </w:rPr>
        <w:t>complete</w:t>
      </w:r>
      <w:r>
        <w:rPr>
          <w:rFonts w:ascii="Calibri" w:hAnsi="Calibri"/>
          <w:b w:val="0"/>
          <w:i w:val="0"/>
          <w:color w:val="262626"/>
          <w:sz w:val="22"/>
        </w:rPr>
        <w:t xml:space="preserve"> applications. Not authoritatively resolved here. </w:t>
      </w:r>
      <w:r>
        <w:rPr>
          <w:rFonts w:ascii="Calibri" w:hAnsi="Calibri"/>
          <w:b/>
          <w:i w:val="0"/>
          <w:color w:val="1F3864"/>
          <w:sz w:val="22"/>
        </w:rPr>
        <w:t>Confirm the live fee on iponline.cipc.co.za at filing</w:t>
      </w:r>
      <w:r>
        <w:rPr>
          <w:rFonts w:ascii="Calibri" w:hAnsi="Calibri"/>
          <w:b w:val="0"/>
          <w:i w:val="0"/>
          <w:color w:val="262626"/>
          <w:sz w:val="22"/>
        </w:rPr>
        <w:t xml:space="preserve"> (the portal shows the exact amount before you pay).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 xml:space="preserve">3. </w:t>
      </w:r>
      <w:r>
        <w:rPr>
          <w:rFonts w:ascii="Calibri" w:hAnsi="Calibri"/>
          <w:b/>
          <w:i w:val="0"/>
          <w:color w:val="1F3864"/>
          <w:sz w:val="22"/>
        </w:rPr>
        <w:t>Inventor→company licence</w:t>
      </w:r>
      <w:r>
        <w:rPr>
          <w:rFonts w:ascii="Calibri" w:hAnsi="Calibri"/>
          <w:b w:val="0"/>
          <w:i w:val="0"/>
          <w:color w:val="262626"/>
          <w:sz w:val="22"/>
        </w:rPr>
        <w:t xml:space="preserve"> — patent is filed in your personal name (portable IP); the operating licence to Trustsquare (Pty) Ltd is "to be executed separately." Execute that assignment/licence at your convenience (not a filing blocker).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4. The 7 counsel items — deferred to the COMPLETE spec (≤12 months), not provisional blockers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From the convergence audit trail (23 Jun). These are legal calls for the complete-spec / PCT stage and for launch ops; none stops the provisional going on file: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 xml:space="preserve">1. CPA s63/s63(3) — reconcile "non-refundable / no restitution" vs the consumer's property right in the </w:t>
      </w:r>
      <w:r>
        <w:rPr>
          <w:rFonts w:ascii="Calibri" w:hAnsi="Calibri"/>
          <w:b/>
          <w:i w:val="0"/>
          <w:color w:val="1F3864"/>
          <w:sz w:val="22"/>
        </w:rPr>
        <w:t>un-burned</w:t>
      </w:r>
      <w:r>
        <w:rPr>
          <w:rFonts w:ascii="Calibri" w:hAnsi="Calibri"/>
          <w:b w:val="0"/>
          <w:i w:val="0"/>
          <w:color w:val="262626"/>
          <w:sz w:val="22"/>
        </w:rPr>
        <w:t xml:space="preserve"> float; move EULA dormancy to ≥36 months (also an EULA v1.7 launch item).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2. Applicant identity — natural-person patent vs corporate whitepaper authorship; document the assignment/licence chain (= §3.3 above).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3. C3 / Pingsby — still CONDITIONAL; clear, narrow, or drop.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 xml:space="preserve">4. Banks Act / SARB closed-loop exemption — confirm Tuppence's non-financial-product classification (do </w:t>
      </w:r>
      <w:r>
        <w:rPr>
          <w:rFonts w:ascii="Calibri" w:hAnsi="Calibri"/>
          <w:b/>
          <w:i w:val="0"/>
          <w:color w:val="1F3864"/>
          <w:sz w:val="22"/>
        </w:rPr>
        <w:t>not</w:t>
      </w:r>
      <w:r>
        <w:rPr>
          <w:rFonts w:ascii="Calibri" w:hAnsi="Calibri"/>
          <w:b w:val="0"/>
          <w:i w:val="0"/>
          <w:color w:val="262626"/>
          <w:sz w:val="22"/>
        </w:rPr>
        <w:t xml:space="preserve"> add crypto/MiCA scaffolding).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5. POPIA s71 — confirm the trust score never becomes a solely-automated consequential decision without a human/explanation path.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 xml:space="preserve">6. Professional novelty search — independently confirm all cited refs; </w:t>
      </w:r>
      <w:r>
        <w:rPr>
          <w:rFonts w:ascii="Calibri" w:hAnsi="Calibri"/>
          <w:b/>
          <w:i w:val="0"/>
          <w:color w:val="1F3864"/>
          <w:sz w:val="22"/>
        </w:rPr>
        <w:t>US 8,095,377</w:t>
      </w:r>
      <w:r>
        <w:rPr>
          <w:rFonts w:ascii="Calibri" w:hAnsi="Calibri"/>
          <w:b w:val="0"/>
          <w:i w:val="0"/>
          <w:color w:val="262626"/>
          <w:sz w:val="22"/>
        </w:rPr>
        <w:t xml:space="preserve"> is the closest and must be distinguished in the complete spec.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7. §101 / COMVIK framing — at complete-spec/PCT, frame claims as a specific technical improvement (hold state machine, existence gate, ceiling pre-flight).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5. The one hard rule (the novelty gate)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The provisional must be ON FILE before the whitepaper is published.</w:t>
      </w:r>
      <w:r>
        <w:rPr>
          <w:rFonts w:ascii="Calibri" w:hAnsi="Calibri"/>
          <w:b w:val="0"/>
          <w:i w:val="0"/>
          <w:color w:val="262626"/>
          <w:sz w:val="22"/>
        </w:rPr>
        <w:t xml:space="preserve"> The whitepaper is a deliberate prior-art / defensive publication; releasing it before the filing date would destroy the novelty the provisional exists to protect. Your stated order (patent → whitepaper → …) is exactly right; edit B1 hard-wires it into the document.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6. Planned sequence of events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P0 — File the provisional (next 2 days).</w:t>
      </w:r>
      <w:r>
        <w:rPr>
          <w:rFonts w:ascii="Calibri" w:hAnsi="Calibri"/>
          <w:b w:val="0"/>
          <w:i w:val="0"/>
          <w:color w:val="262626"/>
          <w:sz w:val="22"/>
        </w:rPr>
        <w:t xml:space="preserve"> Assemble pack (Form P1 + P6 + provisional spec with whitepaper annexed as the Detailed Description) → confirm fee on iponline → file at iponline.cipc.co.za → record the application/patent-pending number + filing date. </w:t>
      </w:r>
      <w:r>
        <w:rPr>
          <w:rFonts w:ascii="Calibri" w:hAnsi="Calibri"/>
          <w:b w:val="0"/>
          <w:i/>
          <w:color w:val="262626"/>
          <w:sz w:val="22"/>
        </w:rPr>
        <w:t>(Optional, parallel: file TRUSTSQUARE trade mark, Nice classes 35/36/42, + TUPPENCE word mark.)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P1 — Publish the whitepaper.</w:t>
      </w:r>
      <w:r>
        <w:rPr>
          <w:rFonts w:ascii="Calibri" w:hAnsi="Calibri"/>
          <w:b w:val="0"/>
          <w:i w:val="0"/>
          <w:color w:val="262626"/>
          <w:sz w:val="22"/>
        </w:rPr>
        <w:t xml:space="preserve"> Only after the application number is issued. Re-stamp from "CONFIDENTIAL — not for distribution" to a public defensive-publication version carrying the application number + date; then publish.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P2 — Paystack: register + integrate + go-live.</w:t>
      </w:r>
      <w:r>
        <w:rPr>
          <w:rFonts w:ascii="Calibri" w:hAnsi="Calibri"/>
          <w:b w:val="0"/>
          <w:i w:val="0"/>
          <w:color w:val="262626"/>
          <w:sz w:val="22"/>
        </w:rPr>
        <w:t xml:space="preserve"> Integration scaffolding already exists in-app (test mode: ms.js return handler, top-up, plan wiring). Going live needs: merchant registration/verification for Trustsquare (Pty) Ltd → </w:t>
      </w:r>
      <w:r>
        <w:rPr>
          <w:rFonts w:ascii="Consolas" w:hAnsi="Consolas"/>
          <w:b w:val="0"/>
          <w:i w:val="0"/>
          <w:color w:val="1F3864"/>
          <w:sz w:val="20"/>
        </w:rPr>
        <w:t>sk_live</w:t>
      </w:r>
      <w:r>
        <w:rPr>
          <w:rFonts w:ascii="Calibri" w:hAnsi="Calibri"/>
          <w:b w:val="0"/>
          <w:i w:val="0"/>
          <w:color w:val="262626"/>
          <w:sz w:val="22"/>
        </w:rPr>
        <w:t xml:space="preserve"> keys + </w:t>
      </w:r>
      <w:r>
        <w:rPr>
          <w:rFonts w:ascii="Consolas" w:hAnsi="Consolas"/>
          <w:b w:val="0"/>
          <w:i w:val="0"/>
          <w:color w:val="1F3864"/>
          <w:sz w:val="20"/>
        </w:rPr>
        <w:t>PAYSTACK_WEBHOOK_SECRET</w:t>
      </w:r>
      <w:r>
        <w:rPr>
          <w:rFonts w:ascii="Calibri" w:hAnsi="Calibri"/>
          <w:b w:val="0"/>
          <w:i w:val="0"/>
          <w:color w:val="262626"/>
          <w:sz w:val="22"/>
        </w:rPr>
        <w:t xml:space="preserve"> → finish plan wiring → flip the S5 production gate (fail-closed) → deploy via </w:t>
      </w:r>
      <w:r>
        <w:rPr>
          <w:rFonts w:ascii="Consolas" w:hAnsi="Consolas"/>
          <w:b w:val="0"/>
          <w:i w:val="0"/>
          <w:color w:val="1F3864"/>
          <w:sz w:val="20"/>
        </w:rPr>
        <w:t>deploy_bea_safe.bat</w:t>
      </w:r>
      <w:r>
        <w:rPr>
          <w:rFonts w:ascii="Calibri" w:hAnsi="Calibri"/>
          <w:b w:val="0"/>
          <w:i w:val="0"/>
          <w:color w:val="262626"/>
          <w:sz w:val="22"/>
        </w:rPr>
        <w:t xml:space="preserve">. </w:t>
      </w:r>
      <w:r>
        <w:rPr>
          <w:rFonts w:ascii="Calibri" w:hAnsi="Calibri"/>
          <w:b/>
          <w:i w:val="0"/>
          <w:color w:val="1F3864"/>
          <w:sz w:val="22"/>
        </w:rPr>
        <w:t>Merchant approval is the likely long-pole — start it first.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P3 — Test in app.</w:t>
      </w:r>
      <w:r>
        <w:rPr>
          <w:rFonts w:ascii="Calibri" w:hAnsi="Calibri"/>
          <w:b w:val="0"/>
          <w:i w:val="0"/>
          <w:color w:val="262626"/>
          <w:sz w:val="22"/>
        </w:rPr>
        <w:t xml:space="preserve"> Real small top-up via Paystack live → webhook confirmation → hold→burn on a delivered introduction and a successful AI run → hold→release on decline/failure → S5 gate verified fail-closed → ledger integrity check.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P4 — Plan launch cadence.</w:t>
      </w:r>
      <w:r>
        <w:rPr>
          <w:rFonts w:ascii="Calibri" w:hAnsi="Calibri"/>
          <w:b w:val="0"/>
          <w:i w:val="0"/>
          <w:color w:val="262626"/>
          <w:sz w:val="22"/>
        </w:rPr>
        <w:t xml:space="preserve"> CityLauncher waves (Pretoria pilot → Wave 1: New York / London / Sydney), Founders cohort issuance + </w:t>
      </w:r>
      <w:r>
        <w:rPr>
          <w:rFonts w:ascii="Consolas" w:hAnsi="Consolas"/>
          <w:b w:val="0"/>
          <w:i w:val="0"/>
          <w:color w:val="1F3864"/>
          <w:sz w:val="20"/>
        </w:rPr>
        <w:t>LAUNCH_SPECIAL_DEADLINE</w:t>
      </w:r>
      <w:r>
        <w:rPr>
          <w:rFonts w:ascii="Calibri" w:hAnsi="Calibri"/>
          <w:b w:val="0"/>
          <w:i w:val="0"/>
          <w:color w:val="262626"/>
          <w:sz w:val="22"/>
        </w:rPr>
        <w:t xml:space="preserve">, comms/video pack. </w:t>
      </w:r>
      <w:r>
        <w:rPr>
          <w:rFonts w:ascii="Calibri" w:hAnsi="Calibri"/>
          <w:b/>
          <w:i w:val="0"/>
          <w:color w:val="1F3864"/>
          <w:sz w:val="22"/>
        </w:rPr>
        <w:t>EULA v1.7 + dormancy ≥36-mo</w:t>
      </w:r>
      <w:r>
        <w:rPr>
          <w:rFonts w:ascii="Calibri" w:hAnsi="Calibri"/>
          <w:b w:val="0"/>
          <w:i w:val="0"/>
          <w:color w:val="262626"/>
          <w:sz w:val="22"/>
        </w:rPr>
        <w:t xml:space="preserve"> (counsel) runs in parallel — it's a launch blocker but not a patent/whitepaper blocker.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P5 — Launch.</w:t>
      </w:r>
      <w:r>
        <w:rPr>
          <w:rFonts w:ascii="Calibri" w:hAnsi="Calibri"/>
          <w:b w:val="0"/>
          <w:i w:val="0"/>
          <w:color w:val="262626"/>
          <w:sz w:val="22"/>
        </w:rPr>
        <w:t xml:space="preserve"> Flip launch flags; first wave live.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Critical path:</w:t>
      </w:r>
      <w:r>
        <w:rPr>
          <w:rFonts w:ascii="Calibri" w:hAnsi="Calibri"/>
          <w:b w:val="0"/>
          <w:i w:val="0"/>
          <w:color w:val="262626"/>
          <w:sz w:val="22"/>
        </w:rPr>
        <w:t xml:space="preserve"> P0 → P1 is a hard gate (novelty). P2 (Paystack merchant approval) is the variable-latency long-pole and can start the moment the provisional is filed. P4 planning runs in parallel with P2/P3. P3 gates P5.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