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TrustSquare Whitepaper — Pre-Publication Accuracy Review</w:t>
      </w:r>
    </w:p>
    <w:p>
      <w:r>
        <w:rPr>
          <w:color w:val="595959"/>
          <w:sz w:val="21"/>
        </w:rPr>
        <w:t>Whitepaper + claim visuals checked against the provisional patent as filed at CIPC  ·  2 July 2026</w:t>
      </w:r>
    </w:p>
    <w:p>
      <w:pPr>
        <w:pStyle w:val="Heading2"/>
      </w:pPr>
      <w:r>
        <w:rPr>
          <w:rFonts w:ascii="Arial" w:hAnsi="Arial"/>
          <w:color w:val="1F3864"/>
          <w:sz w:val="25"/>
        </w:rPr>
        <w:t>Documents compared</w:t>
      </w:r>
    </w:p>
    <w:tbl>
      <w:tblPr>
        <w:tblStyle w:val="TableGrid"/>
        <w:tblW w:type="auto" w:w="0"/>
        <w:jc w:val="left"/>
        <w:tblLook w:firstColumn="1" w:firstRow="1" w:lastColumn="0" w:lastRow="0" w:noHBand="0" w:noVBand="1" w:val="04A0"/>
      </w:tblPr>
      <w:tblGrid>
        <w:gridCol w:w="4706"/>
        <w:gridCol w:w="4706"/>
      </w:tblGrid>
      <w:tr>
        <w:tc>
          <w:tcPr>
            <w:tcW w:type="dxa" w:w="2381"/>
            <w:shd w:val="clear" w:fill="1F3864"/>
          </w:tcPr>
          <w:p>
            <w:r>
              <w:rPr>
                <w:b/>
                <w:color w:val="FFFFFF"/>
                <w:sz w:val="19"/>
              </w:rPr>
              <w:t>Role</w:t>
            </w:r>
          </w:p>
        </w:tc>
        <w:tc>
          <w:tcPr>
            <w:tcW w:type="dxa" w:w="7030"/>
            <w:shd w:val="clear" w:fill="1F3864"/>
          </w:tcPr>
          <w:p>
            <w:r>
              <w:rPr>
                <w:b/>
                <w:color w:val="FFFFFF"/>
                <w:sz w:val="19"/>
              </w:rPr>
              <w:t>File (Patents / patent-loop)</w:t>
            </w:r>
          </w:p>
        </w:tc>
      </w:tr>
      <w:tr>
        <w:tc>
          <w:tcPr>
            <w:tcW w:type="dxa" w:w="2381"/>
          </w:tcPr>
          <w:p>
            <w:r>
              <w:rPr>
                <w:b/>
                <w:sz w:val="19"/>
              </w:rPr>
              <w:t>Whitepaper to publish</w:t>
            </w:r>
          </w:p>
        </w:tc>
        <w:tc>
          <w:tcPr>
            <w:tcW w:type="dxa" w:w="7030"/>
          </w:tcPr>
          <w:p>
            <w:r>
              <w:rPr>
                <w:sz w:val="19"/>
              </w:rPr>
              <w:t>TrustSquare_WhitePaper_PUBLIC_2026-06-30.docx + .pdf — both regenerated 1 Jul 21:24; PDF verified to match the docx (post-scrub).</w:t>
            </w:r>
          </w:p>
        </w:tc>
      </w:tr>
      <w:tr>
        <w:tc>
          <w:tcPr>
            <w:tcW w:type="dxa" w:w="2381"/>
          </w:tcPr>
          <w:p>
            <w:r>
              <w:rPr>
                <w:b/>
                <w:sz w:val="19"/>
              </w:rPr>
              <w:t>Patent as filed</w:t>
            </w:r>
          </w:p>
        </w:tc>
        <w:tc>
          <w:tcPr>
            <w:tcW w:type="dxa" w:w="7030"/>
          </w:tcPr>
          <w:p>
            <w:r>
              <w:rPr>
                <w:sz w:val="19"/>
              </w:rPr>
              <w:t>TrustSquare_Provisional_FILING_with_Annex_2026-06-30.pdf (14 pp). sha256 verified = the FILING_BASELINE record of the uploaded file. ZA provisional 2026/06760, filed 30 June 2026.</w:t>
            </w:r>
          </w:p>
        </w:tc>
      </w:tr>
      <w:tr>
        <w:tc>
          <w:tcPr>
            <w:tcW w:type="dxa" w:w="2381"/>
          </w:tcPr>
          <w:p>
            <w:r>
              <w:rPr>
                <w:b/>
                <w:sz w:val="19"/>
              </w:rPr>
              <w:t>Visual companion</w:t>
            </w:r>
          </w:p>
        </w:tc>
        <w:tc>
          <w:tcPr>
            <w:tcW w:type="dxa" w:w="7030"/>
          </w:tcPr>
          <w:p>
            <w:r>
              <w:rPr>
                <w:sz w:val="19"/>
              </w:rPr>
              <w:t>TrustSquare_Claim_Visuals_Illustrative_v3.html (30 Jun).</w:t>
            </w:r>
          </w:p>
        </w:tc>
      </w:tr>
    </w:tbl>
    <w:p>
      <w:pPr>
        <w:pStyle w:val="Heading1"/>
      </w:pPr>
      <w:r>
        <w:rPr>
          <w:rFonts w:ascii="Arial" w:hAnsi="Arial"/>
          <w:color w:val="1F3864"/>
          <w:sz w:val="32"/>
        </w:rPr>
        <w:t>1. Verdict</w:t>
      </w:r>
    </w:p>
    <w:p>
      <w:pPr>
        <w:spacing w:after="120"/>
      </w:pPr>
      <w:r>
        <w:rPr>
          <w:b w:val="0"/>
          <w:sz w:val="21"/>
        </w:rPr>
        <w:t>The whitepaper’s technical content is accurate against the filed patent: sections 1–3 and 6–8 are word-for-word the annexed v3.11 detailed description, and every deliberate post-filing edit (patent-pending banner, application number, scrubbed financials, removed IP-Brief/counsel references) checked out. No unintended content drift was found.</w:t>
      </w:r>
    </w:p>
    <w:p>
      <w:pPr>
        <w:spacing w:after="120"/>
      </w:pPr>
      <w:r>
        <w:rPr>
          <w:b w:val="0"/>
          <w:sz w:val="21"/>
        </w:rPr>
        <w:t>Two things block publication as-is: (1) the whitepaper’s claim statements (§4 and §9) do not match either their own claims table or the claims actually on file at CIPC — because (2) the claims section of the document uploaded to CIPC is truncated mid-word, ending in dependent claim C4; claims C5–C13 and the Abstract are not in the filed document. The visual companion is out of date on filing status and old tier names, and contains adversarial self-assessment that should not be published.</w:t>
      </w:r>
    </w:p>
    <w:p>
      <w:pPr>
        <w:pStyle w:val="Heading1"/>
      </w:pPr>
      <w:r>
        <w:rPr>
          <w:rFonts w:ascii="Arial" w:hAnsi="Arial"/>
          <w:color w:val="1F3864"/>
          <w:sz w:val="32"/>
        </w:rPr>
        <w:t>2. What is accurate (verified)</w:t>
      </w:r>
    </w:p>
    <w:p>
      <w:pPr>
        <w:pStyle w:val="ListBullet"/>
      </w:pPr>
      <w:r>
        <w:rPr>
          <w:sz w:val="20"/>
        </w:rPr>
        <w:t>Filing facts: application 2026/06760, filed 30 June 2026, Section 30(1) Patents Act 57 of 1978, applicant/inventor David Maurice Conradie (natural person), Trustsquare (Pty) Ltd Reg 2026/340128/07 operating under licence — all consistent across whitepaper, filed document and the PATENT_PENDING record.</w:t>
      </w:r>
    </w:p>
    <w:p>
      <w:pPr>
        <w:pStyle w:val="ListBullet"/>
      </w:pPr>
      <w:r>
        <w:rPr>
          <w:sz w:val="20"/>
        </w:rPr>
        <w:t>Description integrity: public whitepaper §§1–3, 6–8 are identical to the annexed detailed description in the filed PDF. The published disclosure will match the priority-date disclosure — exactly what a defensive publication should do.</w:t>
      </w:r>
    </w:p>
    <w:p>
      <w:pPr>
        <w:pStyle w:val="ListBullet"/>
      </w:pPr>
      <w:r>
        <w:rPr>
          <w:sz w:val="20"/>
        </w:rPr>
        <w:t>The 1 Jul scrub did what it should: financial projections (§5) replaced with a neutral summary, IP Brief / erratum / counsel-firm references removed, version history cleaned, CONFIDENTIAL banner replaced with the patent-pending line.</w:t>
      </w:r>
    </w:p>
    <w:p>
      <w:pPr>
        <w:pStyle w:val="ListBullet"/>
      </w:pPr>
      <w:r>
        <w:rPr>
          <w:sz w:val="20"/>
        </w:rPr>
        <w:t>PDF/docx sync: the public PDF (9 pp) matches the scrubbed docx, including the previously-truncated Claim 7 table row, now complete.</w:t>
      </w:r>
    </w:p>
    <w:p>
      <w:pPr>
        <w:pStyle w:val="ListBullet"/>
      </w:pPr>
      <w:r>
        <w:rPr>
          <w:sz w:val="20"/>
        </w:rPr>
        <w:t>Cross-document consistency: hold-ledger semantics (hold → burn on verified delivery / release on non-delivery, {hold, burn, hold_released, release} as sole mutation path, idempotency keys, BEGIN IMMEDIATE), 1T = USD $2, three-tier + free-agency model, evidence-based trust score — all agree across whitepaper §3, filed Claims A/B/C1–C4, and the visuals’ C10–C13 and trust-score panels.</w:t>
      </w:r>
    </w:p>
    <w:p>
      <w:pPr>
        <w:pStyle w:val="Heading1"/>
      </w:pPr>
      <w:r>
        <w:rPr>
          <w:rFonts w:ascii="Arial" w:hAnsi="Arial"/>
          <w:color w:val="1F3864"/>
          <w:sz w:val="32"/>
        </w:rPr>
        <w:t>3. Where it is not accurate</w:t>
      </w:r>
    </w:p>
    <w:tbl>
      <w:tblPr>
        <w:tblStyle w:val="TableGrid"/>
        <w:tblW w:type="auto" w:w="0"/>
        <w:tblLook w:firstColumn="1" w:firstRow="1" w:lastColumn="0" w:lastRow="0" w:noHBand="0" w:noVBand="1" w:val="04A0"/>
      </w:tblPr>
      <w:tblGrid>
        <w:gridCol w:w="3137"/>
        <w:gridCol w:w="3137"/>
        <w:gridCol w:w="3137"/>
      </w:tblGrid>
      <w:tr>
        <w:tc>
          <w:tcPr>
            <w:tcW w:type="dxa" w:w="3137"/>
            <w:shd w:val="clear" w:fill="1F3864"/>
          </w:tcPr>
          <w:p>
            <w:r>
              <w:rPr>
                <w:b/>
                <w:color w:val="FFFFFF"/>
                <w:sz w:val="19"/>
              </w:rPr>
              <w:t>#</w:t>
            </w:r>
          </w:p>
        </w:tc>
        <w:tc>
          <w:tcPr>
            <w:tcW w:type="dxa" w:w="3137"/>
            <w:shd w:val="clear" w:fill="1F3864"/>
          </w:tcPr>
          <w:p>
            <w:r>
              <w:rPr>
                <w:b/>
                <w:color w:val="FFFFFF"/>
                <w:sz w:val="19"/>
              </w:rPr>
              <w:t>Severity</w:t>
            </w:r>
          </w:p>
        </w:tc>
        <w:tc>
          <w:tcPr>
            <w:tcW w:type="dxa" w:w="3137"/>
            <w:shd w:val="clear" w:fill="1F3864"/>
          </w:tcPr>
          <w:p>
            <w:r>
              <w:rPr>
                <w:b/>
                <w:color w:val="FFFFFF"/>
                <w:sz w:val="19"/>
              </w:rPr>
              <w:t>Finding</w:t>
            </w:r>
          </w:p>
        </w:tc>
      </w:tr>
      <w:tr>
        <w:tc>
          <w:tcPr>
            <w:tcW w:type="dxa" w:w="624"/>
          </w:tcPr>
          <w:p>
            <w:r>
              <w:rPr>
                <w:b/>
                <w:sz w:val="19"/>
              </w:rPr>
              <w:t>F1</w:t>
            </w:r>
          </w:p>
        </w:tc>
        <w:tc>
          <w:tcPr>
            <w:tcW w:type="dxa" w:w="1247"/>
          </w:tcPr>
          <w:p>
            <w:r>
              <w:rPr>
                <w:b/>
                <w:color w:val="C00000"/>
                <w:sz w:val="19"/>
              </w:rPr>
              <w:t>CRITICAL</w:t>
            </w:r>
          </w:p>
        </w:tc>
        <w:tc>
          <w:tcPr>
            <w:tcW w:type="dxa" w:w="7540"/>
          </w:tcPr>
          <w:p>
            <w:r>
              <w:rPr>
                <w:b/>
                <w:sz w:val="19"/>
              </w:rPr>
              <w:t xml:space="preserve">Filed claims truncated at CIPC — </w:t>
            </w:r>
            <w:r>
              <w:rPr>
                <w:sz w:val="19"/>
              </w:rPr>
              <w:t>The claims section of the uploaded PDF ends mid-word inside dependent claim C4 (“…server-side recompute pat”). Missing from the filed document: the rest of C4, dependent claims C5, C6, C8, C9, C10–C13, and the Abstract. The truncation was already in the 29-Jun frozen FILING.docx (same write-truncation fault class as the Claim-7 row caught in FILING_BASELINE — this instance was not caught) and carried into both the 29-Jun and 30-Jun PDFs. Mitigation: a SA provisional does not require claims; priority rests on the description, and the annexed whitepaper does disclose all the truncated subject matter (§3.2 hold ledger, §3.4, §3.5, §3.8, §3.9, and the C10–C13 summary in §4). Full claim text survives in working/patent.md. Attorney to confirm handling — see actions.</w:t>
            </w:r>
          </w:p>
        </w:tc>
      </w:tr>
      <w:tr>
        <w:tc>
          <w:tcPr>
            <w:tcW w:type="dxa" w:w="624"/>
          </w:tcPr>
          <w:p>
            <w:r>
              <w:rPr>
                <w:b/>
                <w:sz w:val="19"/>
              </w:rPr>
              <w:t>F2</w:t>
            </w:r>
          </w:p>
        </w:tc>
        <w:tc>
          <w:tcPr>
            <w:tcW w:type="dxa" w:w="1247"/>
          </w:tcPr>
          <w:p>
            <w:r>
              <w:rPr>
                <w:b/>
                <w:color w:val="BF6000"/>
                <w:sz w:val="19"/>
              </w:rPr>
              <w:t>MAJOR</w:t>
            </w:r>
          </w:p>
        </w:tc>
        <w:tc>
          <w:tcPr>
            <w:tcW w:type="dxa" w:w="7540"/>
          </w:tcPr>
          <w:p>
            <w:r>
              <w:rPr>
                <w:b/>
                <w:sz w:val="19"/>
              </w:rPr>
              <w:t xml:space="preserve">Whitepaper §9 misstates what was filed — </w:t>
            </w:r>
            <w:r>
              <w:rPr>
                <w:sz w:val="19"/>
              </w:rPr>
              <w:t>“The 13 claims of §4 form the basis of the provisional specification” — not true of the document on file (2 independent + C1, C3 and a truncated C4), and §4 itself lists only 7 claims.</w:t>
            </w:r>
          </w:p>
        </w:tc>
      </w:tr>
      <w:tr>
        <w:tc>
          <w:tcPr>
            <w:tcW w:type="dxa" w:w="624"/>
          </w:tcPr>
          <w:p>
            <w:r>
              <w:rPr>
                <w:b/>
                <w:sz w:val="19"/>
              </w:rPr>
              <w:t>F3</w:t>
            </w:r>
          </w:p>
        </w:tc>
        <w:tc>
          <w:tcPr>
            <w:tcW w:type="dxa" w:w="1247"/>
          </w:tcPr>
          <w:p>
            <w:r>
              <w:rPr>
                <w:b/>
                <w:color w:val="BF6000"/>
                <w:sz w:val="19"/>
              </w:rPr>
              <w:t>MAJOR</w:t>
            </w:r>
          </w:p>
        </w:tc>
        <w:tc>
          <w:tcPr>
            <w:tcW w:type="dxa" w:w="7540"/>
          </w:tcPr>
          <w:p>
            <w:r>
              <w:rPr>
                <w:b/>
                <w:sz w:val="19"/>
              </w:rPr>
              <w:t xml:space="preserve">Whitepaper §4 internally inconsistent — </w:t>
            </w:r>
            <w:r>
              <w:rPr>
                <w:sz w:val="19"/>
              </w:rPr>
              <w:t>The hierarchy paragraph references Claims 8 and 9 and C10–C13, but the table has rows only for Claims 1–7 — no Claim 8 (heritage layer) or Claim 9 (email triage) row. Pre-scrub the paragraph cited IP Brief v5/v6 as the source; the scrub removed the citations and left the dangling numbers.</w:t>
            </w:r>
          </w:p>
        </w:tc>
      </w:tr>
      <w:tr>
        <w:tc>
          <w:tcPr>
            <w:tcW w:type="dxa" w:w="624"/>
          </w:tcPr>
          <w:p>
            <w:r>
              <w:rPr>
                <w:b/>
                <w:sz w:val="19"/>
              </w:rPr>
              <w:t>F4</w:t>
            </w:r>
          </w:p>
        </w:tc>
        <w:tc>
          <w:tcPr>
            <w:tcW w:type="dxa" w:w="1247"/>
          </w:tcPr>
          <w:p>
            <w:r>
              <w:rPr>
                <w:b/>
                <w:color w:val="BF6000"/>
                <w:sz w:val="19"/>
              </w:rPr>
              <w:t>MAJOR</w:t>
            </w:r>
          </w:p>
        </w:tc>
        <w:tc>
          <w:tcPr>
            <w:tcW w:type="dxa" w:w="7540"/>
          </w:tcPr>
          <w:p>
            <w:r>
              <w:rPr>
                <w:b/>
                <w:sz w:val="19"/>
              </w:rPr>
              <w:t xml:space="preserve">Internal counsel note published in §3.2 — </w:t>
            </w:r>
            <w:r>
              <w:rPr>
                <w:sz w:val="19"/>
              </w:rPr>
              <w:t>“…counsel to reconcile the patent’s ‘no restitution’ recital with s63(3) for the un-burned float” plus “recorded as a launch blocker” — internal work-tracking language, and it hands a reader the CPA-vs-patent tension argument. Note it is already in the FILED annex, so it is on the patent record either way; publishing it is a choice, not an accident to paper over. Also a stray “float. .” double full stop and double spaces.</w:t>
            </w:r>
          </w:p>
        </w:tc>
      </w:tr>
      <w:tr>
        <w:tc>
          <w:tcPr>
            <w:tcW w:type="dxa" w:w="624"/>
          </w:tcPr>
          <w:p>
            <w:r>
              <w:rPr>
                <w:b/>
                <w:sz w:val="19"/>
              </w:rPr>
              <w:t>F5</w:t>
            </w:r>
          </w:p>
        </w:tc>
        <w:tc>
          <w:tcPr>
            <w:tcW w:type="dxa" w:w="1247"/>
          </w:tcPr>
          <w:p>
            <w:r>
              <w:rPr>
                <w:b/>
                <w:color w:val="BF6000"/>
                <w:sz w:val="19"/>
              </w:rPr>
              <w:t>MAJOR</w:t>
            </w:r>
          </w:p>
        </w:tc>
        <w:tc>
          <w:tcPr>
            <w:tcW w:type="dxa" w:w="7540"/>
          </w:tcPr>
          <w:p>
            <w:r>
              <w:rPr>
                <w:b/>
                <w:sz w:val="19"/>
              </w:rPr>
              <w:t xml:space="preserve">Tables orphaned at end of published PDF — </w:t>
            </w:r>
            <w:r>
              <w:rPr>
                <w:sz w:val="19"/>
              </w:rPr>
              <w:t>The schema, tier and claims tables render on pp. 8–9, after the Version History and closing footer. §3.1 “Schema (illustrative):” and §4 “Patent Claims” are followed by nothing. Same layout in the filed annex (accepted there), but it reads as broken in a public document.</w:t>
            </w:r>
          </w:p>
        </w:tc>
      </w:tr>
      <w:tr>
        <w:tc>
          <w:tcPr>
            <w:tcW w:type="dxa" w:w="624"/>
          </w:tcPr>
          <w:p>
            <w:r>
              <w:rPr>
                <w:b/>
                <w:sz w:val="19"/>
              </w:rPr>
              <w:t>F6</w:t>
            </w:r>
          </w:p>
        </w:tc>
        <w:tc>
          <w:tcPr>
            <w:tcW w:type="dxa" w:w="1247"/>
          </w:tcPr>
          <w:p>
            <w:r>
              <w:rPr>
                <w:b/>
                <w:color w:val="59626E"/>
                <w:sz w:val="19"/>
              </w:rPr>
              <w:t>MINOR</w:t>
            </w:r>
          </w:p>
        </w:tc>
        <w:tc>
          <w:tcPr>
            <w:tcW w:type="dxa" w:w="7540"/>
          </w:tcPr>
          <w:p>
            <w:r>
              <w:rPr>
                <w:b/>
                <w:sz w:val="19"/>
              </w:rPr>
              <w:t xml:space="preserve">Version History incomplete — </w:t>
            </w:r>
            <w:r>
              <w:rPr>
                <w:sz w:val="19"/>
              </w:rPr>
              <w:t>A single v3.5 entry on a v3.11 document.</w:t>
            </w:r>
          </w:p>
        </w:tc>
      </w:tr>
      <w:tr>
        <w:tc>
          <w:tcPr>
            <w:tcW w:type="dxa" w:w="624"/>
          </w:tcPr>
          <w:p>
            <w:r>
              <w:rPr>
                <w:b/>
                <w:sz w:val="19"/>
              </w:rPr>
              <w:t>F7</w:t>
            </w:r>
          </w:p>
        </w:tc>
        <w:tc>
          <w:tcPr>
            <w:tcW w:type="dxa" w:w="1247"/>
          </w:tcPr>
          <w:p>
            <w:r>
              <w:rPr>
                <w:b/>
                <w:color w:val="59626E"/>
                <w:sz w:val="19"/>
              </w:rPr>
              <w:t>MINOR</w:t>
            </w:r>
          </w:p>
        </w:tc>
        <w:tc>
          <w:tcPr>
            <w:tcW w:type="dxa" w:w="7540"/>
          </w:tcPr>
          <w:p>
            <w:r>
              <w:rPr>
                <w:b/>
                <w:sz w:val="19"/>
              </w:rPr>
              <w:t xml:space="preserve">Visuals: stale filing status — </w:t>
            </w:r>
            <w:r>
              <w:rPr>
                <w:sz w:val="19"/>
              </w:rPr>
              <w:t>Header/footer still say controlling claim language sits in IP Brief v5 “until counsel lands v6”, and Claim 3 says Pingsby must be cleared “before filing” — superseded on 30 June: the filed provisional is now the controlling text and C3 was filed (without its conditional label). No application number or patent-pending line anywhere on the document.</w:t>
            </w:r>
          </w:p>
        </w:tc>
      </w:tr>
      <w:tr>
        <w:tc>
          <w:tcPr>
            <w:tcW w:type="dxa" w:w="624"/>
          </w:tcPr>
          <w:p>
            <w:r>
              <w:rPr>
                <w:b/>
                <w:sz w:val="19"/>
              </w:rPr>
              <w:t>F8</w:t>
            </w:r>
          </w:p>
        </w:tc>
        <w:tc>
          <w:tcPr>
            <w:tcW w:type="dxa" w:w="1247"/>
          </w:tcPr>
          <w:p>
            <w:r>
              <w:rPr>
                <w:b/>
                <w:color w:val="59626E"/>
                <w:sz w:val="19"/>
              </w:rPr>
              <w:t>MINOR</w:t>
            </w:r>
          </w:p>
        </w:tc>
        <w:tc>
          <w:tcPr>
            <w:tcW w:type="dxa" w:w="7540"/>
          </w:tcPr>
          <w:p>
            <w:r>
              <w:rPr>
                <w:b/>
                <w:sz w:val="19"/>
              </w:rPr>
              <w:t xml:space="preserve">Visuals: legacy tier names — </w:t>
            </w:r>
            <w:r>
              <w:rPr>
                <w:sz w:val="19"/>
              </w:rPr>
              <w:t>Claim 5 panel shows Business / Elite / Professional / Standard / Free — the old five-tier model. Contradicts the whitepaper’s simplified three-tier + agency model and the deliberately tier-agnostic filed Claim A.</w:t>
            </w:r>
          </w:p>
        </w:tc>
      </w:tr>
      <w:tr>
        <w:tc>
          <w:tcPr>
            <w:tcW w:type="dxa" w:w="624"/>
          </w:tcPr>
          <w:p>
            <w:r>
              <w:rPr>
                <w:b/>
                <w:sz w:val="19"/>
              </w:rPr>
              <w:t>F9</w:t>
            </w:r>
          </w:p>
        </w:tc>
        <w:tc>
          <w:tcPr>
            <w:tcW w:type="dxa" w:w="1247"/>
          </w:tcPr>
          <w:p>
            <w:r>
              <w:rPr>
                <w:b/>
                <w:color w:val="1F3864"/>
                <w:sz w:val="19"/>
              </w:rPr>
              <w:t>DECISION</w:t>
            </w:r>
          </w:p>
        </w:tc>
        <w:tc>
          <w:tcPr>
            <w:tcW w:type="dxa" w:w="7540"/>
          </w:tcPr>
          <w:p>
            <w:r>
              <w:rPr>
                <w:b/>
                <w:sz w:val="19"/>
              </w:rPr>
              <w:t xml:space="preserve">Visuals contain adversarial self-assessment — </w:t>
            </w:r>
            <w:r>
              <w:rPr>
                <w:sz w:val="19"/>
              </w:rPr>
              <w:t>The validity-verdict panel and WEAK / AT RISK tags with prior-art citations are an excellent internal briefing aid and damaging as a public companion (public concession of claim weakness and near-anticipation). Publishing it alongside the whitepaper is a decision, and my recommendation is: don’t.</w:t>
            </w:r>
          </w:p>
        </w:tc>
      </w:tr>
      <w:tr>
        <w:tc>
          <w:tcPr>
            <w:tcW w:type="dxa" w:w="624"/>
          </w:tcPr>
          <w:p>
            <w:r>
              <w:rPr>
                <w:b/>
                <w:sz w:val="19"/>
              </w:rPr>
              <w:t>F10</w:t>
            </w:r>
          </w:p>
        </w:tc>
        <w:tc>
          <w:tcPr>
            <w:tcW w:type="dxa" w:w="1247"/>
          </w:tcPr>
          <w:p>
            <w:r>
              <w:rPr>
                <w:b/>
                <w:color w:val="59626E"/>
                <w:sz w:val="19"/>
              </w:rPr>
              <w:t>NOTE</w:t>
            </w:r>
          </w:p>
        </w:tc>
        <w:tc>
          <w:tcPr>
            <w:tcW w:type="dxa" w:w="7540"/>
          </w:tcPr>
          <w:p>
            <w:r>
              <w:rPr>
                <w:b/>
                <w:sz w:val="19"/>
              </w:rPr>
              <w:t xml:space="preserve">Figures referenced but not filed — </w:t>
            </w:r>
            <w:r>
              <w:rPr>
                <w:sz w:val="19"/>
              </w:rPr>
              <w:t>The filed spec’s “Brief Description of the Figures” says Claim Visuals v2 + the C10–C13 panel “constitute the figures”, but the filed PDF contains no images, the visuals on disk are v3, and the visuals doc itself says it must not be treated as patent figures. Not fatal for a provisional; belongs on the complete-spec worklist.</w:t>
            </w:r>
          </w:p>
        </w:tc>
      </w:tr>
      <w:tr>
        <w:tc>
          <w:tcPr>
            <w:tcW w:type="dxa" w:w="624"/>
          </w:tcPr>
          <w:p>
            <w:r>
              <w:rPr>
                <w:b/>
                <w:sz w:val="19"/>
              </w:rPr>
              <w:t>F11</w:t>
            </w:r>
          </w:p>
        </w:tc>
        <w:tc>
          <w:tcPr>
            <w:tcW w:type="dxa" w:w="1247"/>
          </w:tcPr>
          <w:p>
            <w:r>
              <w:rPr>
                <w:b/>
                <w:color w:val="59626E"/>
                <w:sz w:val="19"/>
              </w:rPr>
              <w:t>NOTE</w:t>
            </w:r>
          </w:p>
        </w:tc>
        <w:tc>
          <w:tcPr>
            <w:tcW w:type="dxa" w:w="7540"/>
          </w:tcPr>
          <w:p>
            <w:r>
              <w:rPr>
                <w:b/>
                <w:sz w:val="19"/>
              </w:rPr>
              <w:t xml:space="preserve">Housekeeping — </w:t>
            </w:r>
            <w:r>
              <w:rPr>
                <w:sz w:val="19"/>
              </w:rPr>
              <w:t>No CIPC filing receipt/acknowledgement stored in Patents/ (PATENT_PENDING “Do next” #1). Stale LibreOffice lock file and a lu381pxr0.tmp left in patent-loop/.</w:t>
            </w:r>
          </w:p>
        </w:tc>
      </w:tr>
    </w:tbl>
    <w:p>
      <w:pPr>
        <w:pStyle w:val="Heading1"/>
      </w:pPr>
      <w:r>
        <w:rPr>
          <w:rFonts w:ascii="Arial" w:hAnsi="Arial"/>
          <w:color w:val="1F3864"/>
          <w:sz w:val="32"/>
        </w:rPr>
        <w:t>4. Fix actions for review</w:t>
      </w:r>
    </w:p>
    <w:p>
      <w:pPr>
        <w:spacing w:after="120"/>
      </w:pPr>
      <w:r>
        <w:rPr>
          <w:b w:val="0"/>
          <w:color w:val="595959"/>
          <w:sz w:val="20"/>
        </w:rPr>
        <w:t>Grouped by gate. A-items block publication; B-items are patent-record actions that do not block publishing; C/D follow.</w:t>
      </w:r>
    </w:p>
    <w:p>
      <w:pPr>
        <w:pStyle w:val="Heading3"/>
      </w:pPr>
      <w:r>
        <w:rPr>
          <w:rFonts w:ascii="Arial" w:hAnsi="Arial"/>
          <w:color w:val="1F3864"/>
          <w:sz w:val="22"/>
        </w:rPr>
        <w:t>A — Before the whitepaper is published</w:t>
      </w:r>
    </w:p>
    <w:p>
      <w:pPr>
        <w:spacing w:after="100"/>
      </w:pPr>
      <w:r>
        <w:rPr>
          <w:b/>
          <w:color w:val="1F3864"/>
          <w:sz w:val="20"/>
        </w:rPr>
        <w:t xml:space="preserve">A1  </w:t>
      </w:r>
      <w:r>
        <w:rPr>
          <w:sz w:val="20"/>
        </w:rPr>
        <w:t>Rewrite §9’s claim-basis sentence to match reality. Suggested: “The claim family described in §4 — two independent anchors (the integrated platform; the commitment-unit bundle) with dependent features including the C10–C13 hold ledger — is the basis of the provisional specification; claims are indicative at provisional stage and will be finalised in the complete specification.” (fixes F2)</w:t>
      </w:r>
    </w:p>
    <w:p>
      <w:pPr>
        <w:spacing w:after="100"/>
      </w:pPr>
      <w:r>
        <w:rPr>
          <w:b/>
          <w:color w:val="1F3864"/>
          <w:sz w:val="20"/>
        </w:rPr>
        <w:t xml:space="preserve">A2  </w:t>
      </w:r>
      <w:r>
        <w:rPr>
          <w:sz w:val="20"/>
        </w:rPr>
        <w:t>Make §4 self-consistent: add table rows for Claim 8 (heritage content linking) and Claim 9 (AI inbound triage) and a C10–C13 hold-ledger row — text exists in §3.8/§3.9 and the visuals — or rewrite the hierarchy paragraph to reference only what the table shows. (F3)</w:t>
      </w:r>
    </w:p>
    <w:p>
      <w:pPr>
        <w:spacing w:after="100"/>
      </w:pPr>
      <w:r>
        <w:rPr>
          <w:b/>
          <w:color w:val="1F3864"/>
          <w:sz w:val="20"/>
        </w:rPr>
        <w:t xml:space="preserve">A3  </w:t>
      </w:r>
      <w:r>
        <w:rPr>
          <w:sz w:val="20"/>
        </w:rPr>
        <w:t>Decide the §3.2 s63(3) sentence: keep (it is already on the filed record — arguably honest and defensible) or reduce to the factual statement without “counsel to reconcile” / “launch blocker” work-tracking. Either way fix “float. .” and double spaces. (F4)</w:t>
      </w:r>
    </w:p>
    <w:p>
      <w:pPr>
        <w:spacing w:after="100"/>
      </w:pPr>
      <w:r>
        <w:rPr>
          <w:b/>
          <w:color w:val="1F3864"/>
          <w:sz w:val="20"/>
        </w:rPr>
        <w:t xml:space="preserve">A4  </w:t>
      </w:r>
      <w:r>
        <w:rPr>
          <w:sz w:val="20"/>
        </w:rPr>
        <w:t>Fix table placement so schema/tier/claims tables sit inside §3.1, §3.5 and §4, then re-export the PDF and re-verify. (F5)</w:t>
      </w:r>
    </w:p>
    <w:p>
      <w:pPr>
        <w:spacing w:after="100"/>
      </w:pPr>
      <w:r>
        <w:rPr>
          <w:b/>
          <w:color w:val="1F3864"/>
          <w:sz w:val="20"/>
        </w:rPr>
        <w:t xml:space="preserve">A5  </w:t>
      </w:r>
      <w:r>
        <w:rPr>
          <w:sz w:val="20"/>
        </w:rPr>
        <w:t>Complete the Version History (or drop the section). (F6)</w:t>
      </w:r>
    </w:p>
    <w:p>
      <w:pPr>
        <w:spacing w:after="100"/>
      </w:pPr>
      <w:r>
        <w:rPr>
          <w:b/>
          <w:color w:val="1F3864"/>
          <w:sz w:val="20"/>
        </w:rPr>
        <w:t xml:space="preserve">A6  </w:t>
      </w:r>
      <w:r>
        <w:rPr>
          <w:sz w:val="20"/>
        </w:rPr>
        <w:t>Publish the whitepaper alone. Keep Claim Visuals v3 internal; if a visual companion must go out, make a public-safe edition: diagrams only, no verdict panel, no WEAK/AT-RISK tags, no prior-art commentary. (F9)</w:t>
      </w:r>
    </w:p>
    <w:p>
      <w:pPr>
        <w:pStyle w:val="Heading3"/>
      </w:pPr>
      <w:r>
        <w:rPr>
          <w:rFonts w:ascii="Arial" w:hAnsi="Arial"/>
          <w:color w:val="1F3864"/>
          <w:sz w:val="22"/>
        </w:rPr>
        <w:t>B — Patent record (attorney; does not block publication)</w:t>
      </w:r>
    </w:p>
    <w:p>
      <w:pPr>
        <w:spacing w:after="100"/>
      </w:pPr>
      <w:r>
        <w:rPr>
          <w:b/>
          <w:color w:val="1F3864"/>
          <w:sz w:val="20"/>
        </w:rPr>
        <w:t xml:space="preserve">B1  </w:t>
      </w:r>
      <w:r>
        <w:rPr>
          <w:sz w:val="20"/>
        </w:rPr>
        <w:t>Report F1 to the patent attorney with working/patent.md (full claims + Abstract) attached: confirm whether to leave correction to the complete specification (claims are optional in a provisional; the description carries priority) or file a corrected/supplementary document now. Anchor date: complete spec due ~30 June 2027.</w:t>
      </w:r>
    </w:p>
    <w:p>
      <w:pPr>
        <w:spacing w:after="100"/>
      </w:pPr>
      <w:r>
        <w:rPr>
          <w:b/>
          <w:color w:val="1F3864"/>
          <w:sz w:val="20"/>
        </w:rPr>
        <w:t xml:space="preserve">B2  </w:t>
      </w:r>
      <w:r>
        <w:rPr>
          <w:sz w:val="20"/>
        </w:rPr>
        <w:t>Add to the complete-spec worklist: restore full C4–C13 + Abstract from working/patent.md; resolve the figures reference (draft formal figures or drop it — F10); the 7 counsel items already logged in PATENT_PENDING.</w:t>
      </w:r>
    </w:p>
    <w:p>
      <w:pPr>
        <w:spacing w:after="100"/>
      </w:pPr>
      <w:r>
        <w:rPr>
          <w:b/>
          <w:color w:val="1F3864"/>
          <w:sz w:val="20"/>
        </w:rPr>
        <w:t xml:space="preserve">B3  </w:t>
      </w:r>
      <w:r>
        <w:rPr>
          <w:sz w:val="20"/>
        </w:rPr>
        <w:t>Record F1 in the change register per the standing truncation-fault protocol (the whitepaper’s Claim-7 truncation was caught and fixed; the spec’s claims truncation was the same fault, uncaught).</w:t>
      </w:r>
    </w:p>
    <w:p>
      <w:pPr>
        <w:pStyle w:val="Heading3"/>
      </w:pPr>
      <w:r>
        <w:rPr>
          <w:rFonts w:ascii="Arial" w:hAnsi="Arial"/>
          <w:color w:val="1F3864"/>
          <w:sz w:val="22"/>
        </w:rPr>
        <w:t>C — Visuals doc (make v4, internal)</w:t>
      </w:r>
    </w:p>
    <w:p>
      <w:pPr>
        <w:spacing w:after="100"/>
      </w:pPr>
      <w:r>
        <w:rPr>
          <w:b/>
          <w:color w:val="1F3864"/>
          <w:sz w:val="20"/>
        </w:rPr>
        <w:t xml:space="preserve">C1  </w:t>
      </w:r>
      <w:r>
        <w:rPr>
          <w:sz w:val="20"/>
        </w:rPr>
        <w:t>Update header/footer: “Provisional filed 30 June 2026 — ZA 2026/06760; the filed specification is the controlling text.” Remove “until counsel lands v6”. (F7)</w:t>
      </w:r>
    </w:p>
    <w:p>
      <w:pPr>
        <w:spacing w:after="100"/>
      </w:pPr>
      <w:r>
        <w:rPr>
          <w:b/>
          <w:color w:val="1F3864"/>
          <w:sz w:val="20"/>
        </w:rPr>
        <w:t xml:space="preserve">C2  </w:t>
      </w:r>
      <w:r>
        <w:rPr>
          <w:sz w:val="20"/>
        </w:rPr>
        <w:t>Update Claim 3 panel: Pingsby note becomes a complete-spec item, not a pre-filing gate. (F7)</w:t>
      </w:r>
    </w:p>
    <w:p>
      <w:pPr>
        <w:spacing w:after="100"/>
      </w:pPr>
      <w:r>
        <w:rPr>
          <w:b/>
          <w:color w:val="1F3864"/>
          <w:sz w:val="20"/>
        </w:rPr>
        <w:t xml:space="preserve">C3  </w:t>
      </w:r>
      <w:r>
        <w:rPr>
          <w:sz w:val="20"/>
        </w:rPr>
        <w:t>Replace legacy tier names in the Claim 5 panel with the current three-tier + agency model (or label the panel tier-agnostic, matching filed Claim A). (F8)</w:t>
      </w:r>
    </w:p>
    <w:p>
      <w:pPr>
        <w:pStyle w:val="Heading3"/>
      </w:pPr>
      <w:r>
        <w:rPr>
          <w:rFonts w:ascii="Arial" w:hAnsi="Arial"/>
          <w:color w:val="1F3864"/>
          <w:sz w:val="22"/>
        </w:rPr>
        <w:t>D — Housekeeping</w:t>
      </w:r>
    </w:p>
    <w:p>
      <w:pPr>
        <w:spacing w:after="100"/>
      </w:pPr>
      <w:r>
        <w:rPr>
          <w:b/>
          <w:color w:val="1F3864"/>
          <w:sz w:val="20"/>
        </w:rPr>
        <w:t xml:space="preserve">D1  </w:t>
      </w:r>
      <w:r>
        <w:rPr>
          <w:sz w:val="20"/>
        </w:rPr>
        <w:t>Download the CIPC filing receipt/acknowledgement from IP Online and store it in Patents/. (F11)</w:t>
      </w:r>
    </w:p>
    <w:p>
      <w:pPr>
        <w:spacing w:after="100"/>
      </w:pPr>
      <w:r>
        <w:rPr>
          <w:b/>
          <w:color w:val="1F3864"/>
          <w:sz w:val="20"/>
        </w:rPr>
        <w:t xml:space="preserve">D2  </w:t>
      </w:r>
      <w:r>
        <w:rPr>
          <w:sz w:val="20"/>
        </w:rPr>
        <w:t>Remove the stale .~lock…pdf# and lu381pxr0.tmp from patent-loop/ once LibreOffice is closed. (F11)</w:t>
      </w:r>
    </w:p>
    <w:p>
      <w:pPr>
        <w:spacing w:after="120"/>
      </w:pPr>
      <w:r>
        <w:rPr>
          <w:b w:val="0"/>
          <w:sz w:val="21"/>
        </w:rPr>
      </w:r>
    </w:p>
    <w:p>
      <w:r>
        <w:rPr>
          <w:color w:val="595959"/>
          <w:sz w:val="18"/>
        </w:rPr>
        <w:t>Method: text-extracted and diffed the public whitepaper (docx + PDF) against the annexed description inside the filed PDF; claims cross-checked against working/patent.md and the frozen baselines; filed-PDF sha256 verified against the FILING_BASELINE record. Flat status: F1 is real and verified in the uploaded file itself; publication readiness after A-items — not yet. I am not a patent attorney; B1 needs one.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