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B3A6B"/>
          <w:sz w:val="72"/>
          <w:szCs w:val="72"/>
        </w:rPr>
        <w:t xml:space="preserve">TRUSTSQUARE</w:t>
      </w:r>
    </w:p>
    <w:p>
      <w:pPr>
        <w:spacing w:after="100" w:before="100"/>
        <w:jc w:val="center"/>
      </w:pPr>
      <w:r>
        <w:rPr>
          <w:rFonts w:ascii="Arial" w:cs="Arial" w:eastAsia="Arial" w:hAnsi="Arial"/>
          <w:i/>
          <w:iCs/>
          <w:color w:val="C9A84C"/>
          <w:sz w:val="36"/>
          <w:szCs w:val="36"/>
        </w:rPr>
        <w:t xml:space="preserve">A Tuppence Introduction Marketplace</w:t>
      </w:r>
    </w:p>
    <w:p>
      <w:r>
        <w:t xml:space="preserve"/>
      </w:r>
    </w:p>
    <w:p>
      <w:pPr>
        <w:pBdr>
          <w:top w:val="single" w:color="C9A84C" w:sz="8" w:space="4"/>
          <w:bottom w:val="single" w:color="C9A84C" w:sz="8" w:space="4"/>
        </w:pBdr>
        <w:spacing w:after="120" w:before="120"/>
        <w:jc w:val="center"/>
      </w:pPr>
      <w:r>
        <w:rPr>
          <w:rFonts w:ascii="Arial" w:cs="Arial" w:eastAsia="Arial" w:hAnsi="Arial"/>
          <w:b/>
          <w:bCs/>
          <w:color w:val="1B3A6B"/>
          <w:sz w:val="28"/>
          <w:szCs w:val="28"/>
        </w:rPr>
        <w:t xml:space="preserve">WHITE PAPER &amp; DEFENSIVE PUBLICATION</w:t>
      </w:r>
    </w:p>
    <w:p>
      <w:r>
        <w:t xml:space="preserve"/>
      </w:r>
    </w:p>
    <w:p>
      <w:r>
        <w:t xml:space="preserve"/>
      </w:r>
    </w:p>
    <w:p>
      <w:pPr>
        <w:jc w:val="center"/>
      </w:pPr>
      <w:r>
        <w:rPr>
          <w:rFonts w:ascii="Arial" w:cs="Arial" w:eastAsia="Arial" w:hAnsi="Arial"/>
          <w:color w:val="555555"/>
          <w:sz w:val="22"/>
          <w:szCs w:val="22"/>
        </w:rPr>
        <w:t xml:space="preserve">Publication Date: April 21, 2026</w:t>
      </w:r>
    </w:p>
    <w:p>
      <w:pPr>
        <w:jc w:val="center"/>
      </w:pPr>
      <w:r>
        <w:rPr>
          <w:rFonts w:ascii="Arial" w:cs="Arial" w:eastAsia="Arial" w:hAnsi="Arial"/>
          <w:color w:val="555555"/>
          <w:sz w:val="22"/>
          <w:szCs w:val="22"/>
        </w:rPr>
        <w:t xml:space="preserve">Domain: trustsquare.co</w:t>
      </w:r>
    </w:p>
    <w:p>
      <w:pPr>
        <w:jc w:val="center"/>
      </w:pPr>
      <w:r>
        <w:rPr>
          <w:rFonts w:ascii="Arial" w:cs="Arial" w:eastAsia="Arial" w:hAnsi="Arial"/>
          <w:b/>
          <w:bCs/>
          <w:color w:val="AA0000"/>
          <w:sz w:val="22"/>
          <w:szCs w:val="22"/>
        </w:rPr>
        <w:t xml:space="preserve">Status: Defensive Publication — Prior Art Establishment</w:t>
      </w:r>
    </w:p>
    <w:p>
      <w:r>
        <w:t xml:space="preserve"/>
      </w:r>
    </w:p>
    <w:p>
      <w:r>
        <w:t xml:space="preserve"/>
      </w:r>
    </w:p>
    <w:p>
      <w:r>
        <w:t xml:space="preserve"/>
      </w:r>
    </w:p>
    <w:p>
      <w:r>
        <w:t xml:space="preserve"/>
      </w:r>
    </w:p>
    <w:p>
      <w:pPr>
        <w:jc w:val="center"/>
      </w:pPr>
      <w:r>
        <w:rPr>
          <w:rFonts w:ascii="Arial" w:cs="Arial" w:eastAsia="Arial" w:hAnsi="Arial"/>
          <w:i/>
          <w:iCs/>
          <w:color w:val="888888"/>
          <w:sz w:val="20"/>
          <w:szCs w:val="20"/>
        </w:rPr>
        <w:t xml:space="preserve">This document constitutes a formal public disclosure of novel innovations described herein.</w:t>
      </w:r>
    </w:p>
    <w:p>
      <w:pPr>
        <w:jc w:val="center"/>
      </w:pPr>
      <w:r>
        <w:rPr>
          <w:rFonts w:ascii="Arial" w:cs="Arial" w:eastAsia="Arial" w:hAnsi="Arial"/>
          <w:i/>
          <w:iCs/>
          <w:color w:val="888888"/>
          <w:sz w:val="20"/>
          <w:szCs w:val="20"/>
        </w:rPr>
        <w:t xml:space="preserve">Publication timestamp serves as prior art reference for all claims contained within.</w:t>
      </w:r>
    </w:p>
    <w:p>
      <w:r>
        <w:br w:type="page"/>
      </w:r>
    </w:p>
    <w:p>
      <w:pPr>
        <w:pStyle w:val="Heading1"/>
        <w:pBdr>
          <w:bottom w:val="single" w:color="2E75B6" w:sz="6" w:space="4"/>
        </w:pBdr>
        <w:spacing w:after="200" w:before="400"/>
      </w:pPr>
      <w:r>
        <w:rPr>
          <w:rFonts w:ascii="Arial" w:cs="Arial" w:eastAsia="Arial" w:hAnsi="Arial"/>
          <w:b/>
          <w:bCs/>
          <w:color w:val="1B3A6B"/>
          <w:sz w:val="32"/>
          <w:szCs w:val="32"/>
        </w:rPr>
        <w:t xml:space="preserve">1. Executive Summary</w:t>
      </w:r>
    </w:p>
    <w:p>
      <w:pPr>
        <w:spacing w:after="100" w:before="100" w:line="276"/>
      </w:pPr>
      <w:r>
        <w:rPr>
          <w:rFonts w:ascii="Arial" w:cs="Arial" w:eastAsia="Arial" w:hAnsi="Arial"/>
          <w:sz w:val="22"/>
          <w:szCs w:val="22"/>
        </w:rPr>
        <w:t xml:space="preserve">TrustSquare is a next-generation marketplace platform that fundamentally reimagines how people discover and connect around products and services. Built on a single core economic principle — the Tuppence Introduction — TrustSquare eliminates traditional advertising costs, removes financial intermediary risk, and introduces a dual-trust vetting system that creates a safer, fairer marketplace for all participants.</w:t>
      </w:r>
    </w:p>
    <w:p>
      <w:r>
        <w:t xml:space="preserve"/>
      </w:r>
    </w:p>
    <w:p>
      <w:pPr>
        <w:spacing w:after="100" w:before="100" w:line="276"/>
      </w:pPr>
      <w:r>
        <w:rPr>
          <w:rFonts w:ascii="Arial" w:cs="Arial" w:eastAsia="Arial" w:hAnsi="Arial"/>
          <w:sz w:val="22"/>
          <w:szCs w:val="22"/>
        </w:rPr>
        <w:t xml:space="preserve">Unlike conventional marketplaces that force users into rigid "buyer" or "seller" roles, TrustSquare operates on what we term the Unified Participation Model — a marketplace architecture in which every user operates simultaneously and interchangeably in both listing and seeking capacities under a single identity, a single Trust Score, and a single wallet. A user browsing for a new home may also list their current one. A collector searching for rare pieces may list their duplicates. A parent looking for a tutor may themselves tutor another subject. This fluid role model is not a feature added to the platform — it is the platform's defining structural principle.</w:t>
      </w:r>
    </w:p>
    <w:p>
      <w:r>
        <w:t xml:space="preserve"/>
      </w:r>
    </w:p>
    <w:p>
      <w:pPr>
        <w:spacing w:after="100" w:before="100" w:line="276"/>
      </w:pPr>
      <w:r>
        <w:rPr>
          <w:rFonts w:ascii="Arial" w:cs="Arial" w:eastAsia="Arial" w:hAnsi="Arial"/>
          <w:sz w:val="22"/>
          <w:szCs w:val="22"/>
        </w:rPr>
        <w:t xml:space="preserve">TrustSquare is architected as a browsing magnet: users come to look, and the looking itself activates the impulse to list. Every category serves as both a consumption surface and a supply trigger. The platform's primary market opportunity is the vast reservoir of unused value — the cars, tools, collectibles, skills, property, and capacity that sit dormant in homes and lives because conventional listing processes are too heavy. TrustSquare's frictionless listing flow, AI-assisted structuring, and one-at-a-time Free tier are engineered to activate this latent supply.</w:t>
      </w:r>
    </w:p>
    <w:p>
      <w:r>
        <w:t xml:space="preserve"/>
      </w:r>
    </w:p>
    <w:p>
      <w:pPr>
        <w:spacing w:after="100" w:before="100" w:line="276"/>
      </w:pPr>
      <w:r>
        <w:rPr>
          <w:rFonts w:ascii="Arial" w:cs="Arial" w:eastAsia="Arial" w:hAnsi="Arial"/>
          <w:sz w:val="22"/>
          <w:szCs w:val="22"/>
        </w:rPr>
        <w:t xml:space="preserve">The platform operates across two connected applications under the TrustSquare brand:</w:t>
      </w:r>
    </w:p>
    <w:p>
      <w:pPr>
        <w:pStyle w:val="ListParagraph"/>
        <w:numPr>
          <w:ilvl w:val="0"/>
          <w:numId w:val="2"/>
        </w:numPr>
        <w:spacing w:after="60" w:before="60"/>
      </w:pPr>
      <w:r>
        <w:rPr>
          <w:rFonts w:ascii="Arial" w:cs="Arial" w:eastAsia="Arial" w:hAnsi="Arial"/>
          <w:sz w:val="22"/>
          <w:szCs w:val="22"/>
        </w:rPr>
        <w:t xml:space="preserve">TrustSquare — the trust, identity, and vetting infrastructure layer</w:t>
      </w:r>
    </w:p>
    <w:p>
      <w:pPr>
        <w:pStyle w:val="ListParagraph"/>
        <w:numPr>
          <w:ilvl w:val="0"/>
          <w:numId w:val="2"/>
        </w:numPr>
        <w:spacing w:after="60" w:before="60"/>
      </w:pPr>
      <w:r>
        <w:rPr>
          <w:rFonts w:ascii="Arial" w:cs="Arial" w:eastAsia="Arial" w:hAnsi="Arial"/>
          <w:sz w:val="22"/>
          <w:szCs w:val="22"/>
        </w:rPr>
        <w:t xml:space="preserve">MarketSquare — the marketplace HMI (Human Machine Interface) through which users list and seek</w:t>
      </w:r>
    </w:p>
    <w:p>
      <w:r>
        <w:t xml:space="preserve"/>
      </w:r>
    </w:p>
    <w:p>
      <w:pPr>
        <w:spacing w:after="100" w:before="100" w:line="276"/>
      </w:pPr>
      <w:r>
        <w:rPr>
          <w:rFonts w:ascii="Arial" w:cs="Arial" w:eastAsia="Arial" w:hAnsi="Arial"/>
          <w:sz w:val="22"/>
          <w:szCs w:val="22"/>
        </w:rPr>
        <w:t xml:space="preserve">This white paper serves a dual purpose: to publicly disclose the novel innovations embodied in TrustSquare, thereby establishing prior art as of the publication date, and to describe the business model and technical architecture for commercial and investor audiences.</w:t>
      </w:r>
    </w:p>
    <w:p>
      <w:r>
        <w:t xml:space="preserve"/>
      </w:r>
    </w:p>
    <w:p>
      <w:pPr>
        <w:pStyle w:val="Heading1"/>
        <w:pBdr>
          <w:bottom w:val="single" w:color="2E75B6" w:sz="6" w:space="4"/>
        </w:pBdr>
        <w:spacing w:after="200" w:before="400"/>
      </w:pPr>
      <w:r>
        <w:rPr>
          <w:rFonts w:ascii="Arial" w:cs="Arial" w:eastAsia="Arial" w:hAnsi="Arial"/>
          <w:b/>
          <w:bCs/>
          <w:color w:val="1B3A6B"/>
          <w:sz w:val="32"/>
          <w:szCs w:val="32"/>
        </w:rPr>
        <w:t xml:space="preserve">2. Problem Statement</w:t>
      </w:r>
    </w:p>
    <w:p>
      <w:pPr>
        <w:spacing w:after="100" w:before="100" w:line="276"/>
      </w:pPr>
      <w:r>
        <w:rPr>
          <w:rFonts w:ascii="Arial" w:cs="Arial" w:eastAsia="Arial" w:hAnsi="Arial"/>
          <w:sz w:val="22"/>
          <w:szCs w:val="22"/>
        </w:rPr>
        <w:t xml:space="preserve">Existing marketplace platforms suffer from several structural problems that TrustSquare is designed to solve:</w:t>
      </w:r>
    </w:p>
    <w:p>
      <w:r>
        <w:t xml:space="preserve"/>
      </w:r>
    </w:p>
    <w:p>
      <w:pPr>
        <w:pStyle w:val="Heading2"/>
        <w:spacing w:after="150" w:before="300"/>
      </w:pPr>
      <w:r>
        <w:rPr>
          <w:rFonts w:ascii="Arial" w:cs="Arial" w:eastAsia="Arial" w:hAnsi="Arial"/>
          <w:b/>
          <w:bCs/>
          <w:color w:val="2E75B6"/>
          <w:sz w:val="26"/>
          <w:szCs w:val="26"/>
        </w:rPr>
        <w:t xml:space="preserve">2.1  Advertising Cost Embedded in Product Prices</w:t>
      </w:r>
    </w:p>
    <w:p>
      <w:pPr>
        <w:spacing w:after="100" w:before="100" w:line="276"/>
      </w:pPr>
      <w:r>
        <w:rPr>
          <w:rFonts w:ascii="Arial" w:cs="Arial" w:eastAsia="Arial" w:hAnsi="Arial"/>
          <w:sz w:val="22"/>
          <w:szCs w:val="22"/>
        </w:rPr>
        <w:t xml:space="preserve">Sellers on traditional platforms (Amazon, eBay, Facebook Marketplace, Google Shopping) must pay significant advertising fees to gain visibility. These costs are invariably passed on to buyers through higher product prices. The buyer ultimately subsidises the platform's advertising revenue model without receiving any direct benefit.</w:t>
      </w:r>
    </w:p>
    <w:p>
      <w:r>
        <w:t xml:space="preserve"/>
      </w:r>
    </w:p>
    <w:p>
      <w:pPr>
        <w:pStyle w:val="Heading2"/>
        <w:spacing w:after="150" w:before="300"/>
      </w:pPr>
      <w:r>
        <w:rPr>
          <w:rFonts w:ascii="Arial" w:cs="Arial" w:eastAsia="Arial" w:hAnsi="Arial"/>
          <w:b/>
          <w:bCs/>
          <w:color w:val="2E75B6"/>
          <w:sz w:val="26"/>
          <w:szCs w:val="26"/>
        </w:rPr>
        <w:t xml:space="preserve">2.2  Anonymous Browsing Without Commitment</w:t>
      </w:r>
    </w:p>
    <w:p>
      <w:pPr>
        <w:spacing w:after="100" w:before="100" w:line="276"/>
      </w:pPr>
      <w:r>
        <w:rPr>
          <w:rFonts w:ascii="Arial" w:cs="Arial" w:eastAsia="Arial" w:hAnsi="Arial"/>
          <w:sz w:val="22"/>
          <w:szCs w:val="22"/>
        </w:rPr>
        <w:t xml:space="preserve">Users can browse endlessly without any signal of genuine intent. This generates low-quality leads for listing parties, wasted time, and no mechanism to distinguish serious inquirers from casual browsers. There is no cost to expressing interest, so interest signals carry no information.</w:t>
      </w:r>
    </w:p>
    <w:p>
      <w:r>
        <w:t xml:space="preserve"/>
      </w:r>
    </w:p>
    <w:p>
      <w:pPr>
        <w:pStyle w:val="Heading2"/>
        <w:spacing w:after="150" w:before="300"/>
      </w:pPr>
      <w:r>
        <w:rPr>
          <w:rFonts w:ascii="Arial" w:cs="Arial" w:eastAsia="Arial" w:hAnsi="Arial"/>
          <w:b/>
          <w:bCs/>
          <w:color w:val="2E75B6"/>
          <w:sz w:val="26"/>
          <w:szCs w:val="26"/>
        </w:rPr>
        <w:t xml:space="preserve">2.3  Financial Intermediary Risk</w:t>
      </w:r>
    </w:p>
    <w:p>
      <w:pPr>
        <w:spacing w:after="100" w:before="100" w:line="276"/>
      </w:pPr>
      <w:r>
        <w:rPr>
          <w:rFonts w:ascii="Arial" w:cs="Arial" w:eastAsia="Arial" w:hAnsi="Arial"/>
          <w:sz w:val="22"/>
          <w:szCs w:val="22"/>
        </w:rPr>
        <w:t xml:space="preserve">Many platforms hold user funds in escrow or act as payment intermediaries, creating counterparty risk, regulatory exposure, and delayed settlement. Neither party to a transaction benefits from a third party holding their money.</w:t>
      </w:r>
    </w:p>
    <w:p>
      <w:r>
        <w:t xml:space="preserve"/>
      </w:r>
    </w:p>
    <w:p>
      <w:pPr>
        <w:pStyle w:val="Heading2"/>
        <w:spacing w:after="150" w:before="300"/>
      </w:pPr>
      <w:r>
        <w:rPr>
          <w:rFonts w:ascii="Arial" w:cs="Arial" w:eastAsia="Arial" w:hAnsi="Arial"/>
          <w:b/>
          <w:bCs/>
          <w:color w:val="2E75B6"/>
          <w:sz w:val="26"/>
          <w:szCs w:val="26"/>
        </w:rPr>
        <w:t xml:space="preserve">2.4  Lack of Mutual Trust Infrastructure</w:t>
      </w:r>
    </w:p>
    <w:p>
      <w:pPr>
        <w:spacing w:after="100" w:before="100" w:line="276"/>
      </w:pPr>
      <w:r>
        <w:rPr>
          <w:rFonts w:ascii="Arial" w:cs="Arial" w:eastAsia="Arial" w:hAnsi="Arial"/>
          <w:sz w:val="22"/>
          <w:szCs w:val="22"/>
        </w:rPr>
        <w:t xml:space="preserve">Existing platforms typically vet listing parties superficially or not at all, and apply no vetting to those making inquiries. This asymmetry enables fraud, false advertising, and time-wasting across the platform. Worse, most platforms enforce a rigid buyer/seller separation that prevents reputation built on one side from strengthening participation on the other.</w:t>
      </w:r>
    </w:p>
    <w:p>
      <w:r>
        <w:t xml:space="preserve"/>
      </w:r>
    </w:p>
    <w:p>
      <w:pPr>
        <w:pStyle w:val="Heading2"/>
        <w:spacing w:after="150" w:before="300"/>
      </w:pPr>
      <w:r>
        <w:rPr>
          <w:rFonts w:ascii="Arial" w:cs="Arial" w:eastAsia="Arial" w:hAnsi="Arial"/>
          <w:b/>
          <w:bCs/>
          <w:color w:val="2E75B6"/>
          <w:sz w:val="26"/>
          <w:szCs w:val="26"/>
        </w:rPr>
        <w:t xml:space="preserve">2.5  Forced Role Separation</w:t>
      </w:r>
    </w:p>
    <w:p>
      <w:pPr>
        <w:spacing w:after="100" w:before="100" w:line="276"/>
      </w:pPr>
      <w:r>
        <w:rPr>
          <w:rFonts w:ascii="Arial" w:cs="Arial" w:eastAsia="Arial" w:hAnsi="Arial"/>
          <w:sz w:val="22"/>
          <w:szCs w:val="22"/>
        </w:rPr>
        <w:t xml:space="preserve">Conventional marketplaces require users to "become a seller" through a distinct onboarding flow, separate profile, and often an entirely separate interface. This friction discourages the natural human reality that most people are both potential customers and potential providers in overlapping contexts throughout their lives. A parent seeking a tutor may themselves tutor another subject; a home-buyer has a home to sell; a collector searching for rare items inevitably accumulates duplicates to list. Traditional marketplace architecture treats these as separate activities requiring separate effort.</w:t>
      </w:r>
    </w:p>
    <w:p>
      <w:r>
        <w:t xml:space="preserve"/>
      </w:r>
    </w:p>
    <w:p>
      <w:pPr>
        <w:pStyle w:val="Heading1"/>
        <w:pBdr>
          <w:bottom w:val="single" w:color="2E75B6" w:sz="6" w:space="4"/>
        </w:pBdr>
        <w:spacing w:after="200" w:before="400"/>
      </w:pPr>
      <w:r>
        <w:rPr>
          <w:rFonts w:ascii="Arial" w:cs="Arial" w:eastAsia="Arial" w:hAnsi="Arial"/>
          <w:b/>
          <w:bCs/>
          <w:color w:val="1B3A6B"/>
          <w:sz w:val="32"/>
          <w:szCs w:val="32"/>
        </w:rPr>
        <w:t xml:space="preserve">3. The TrustSquare Solution</w:t>
      </w:r>
    </w:p>
    <w:p>
      <w:pPr>
        <w:spacing w:after="100" w:before="100" w:line="276"/>
      </w:pPr>
      <w:r>
        <w:rPr>
          <w:rFonts w:ascii="Arial" w:cs="Arial" w:eastAsia="Arial" w:hAnsi="Arial"/>
          <w:sz w:val="22"/>
          <w:szCs w:val="22"/>
        </w:rPr>
        <w:t xml:space="preserve">TrustSquare introduces a fundamentally different marketplace model built on interconnected principles, all resting on a unified role foundation:</w:t>
      </w:r>
    </w:p>
    <w:p>
      <w:r>
        <w:t xml:space="preserve"/>
      </w:r>
    </w:p>
    <w:p>
      <w:pPr>
        <w:pStyle w:val="Heading2"/>
        <w:spacing w:after="150" w:before="300"/>
      </w:pPr>
      <w:r>
        <w:rPr>
          <w:rFonts w:ascii="Arial" w:cs="Arial" w:eastAsia="Arial" w:hAnsi="Arial"/>
          <w:b/>
          <w:bCs/>
          <w:color w:val="2E75B6"/>
          <w:sz w:val="26"/>
          <w:szCs w:val="26"/>
        </w:rPr>
        <w:t xml:space="preserve">3.1  Unified Role Architecture</w:t>
      </w:r>
    </w:p>
    <w:p>
      <w:pPr>
        <w:spacing w:after="100" w:before="100" w:line="276"/>
      </w:pPr>
      <w:r>
        <w:rPr>
          <w:rFonts w:ascii="Arial" w:cs="Arial" w:eastAsia="Arial" w:hAnsi="Arial"/>
          <w:sz w:val="22"/>
          <w:szCs w:val="22"/>
        </w:rPr>
        <w:t xml:space="preserve">Every TrustSquare user holds a single account that functions seamlessly as both a listing identity and a seeking identity. There is no "seller account," no "buyer account," no separate onboarding for listing versus browsing. A user lists when they have something to offer and seeks when they want something — often within the same session, often in the same category, throughout their membership.</w:t>
      </w:r>
    </w:p>
    <w:p>
      <w:r>
        <w:t xml:space="preserve"/>
      </w:r>
    </w:p>
    <w:p>
      <w:pPr>
        <w:spacing w:after="100" w:before="100" w:line="276"/>
      </w:pPr>
      <w:r>
        <w:rPr>
          <w:rFonts w:ascii="Arial" w:cs="Arial" w:eastAsia="Arial" w:hAnsi="Arial"/>
          <w:sz w:val="22"/>
          <w:szCs w:val="22"/>
        </w:rPr>
        <w:t xml:space="preserve">This unified model is not merely a UI simplification. It is an architectural decision that reshapes every downstream mechanism:</w:t>
      </w:r>
    </w:p>
    <w:p>
      <w:pPr>
        <w:pStyle w:val="ListParagraph"/>
        <w:numPr>
          <w:ilvl w:val="0"/>
          <w:numId w:val="2"/>
        </w:numPr>
        <w:spacing w:after="60" w:before="60"/>
      </w:pPr>
      <w:r>
        <w:rPr>
          <w:rFonts w:ascii="Arial" w:cs="Arial" w:eastAsia="Arial" w:hAnsi="Arial"/>
          <w:sz w:val="22"/>
          <w:szCs w:val="22"/>
        </w:rPr>
        <w:t xml:space="preserve">Trust Score is universal — earned through conduct on both sides of every interaction</w:t>
      </w:r>
    </w:p>
    <w:p>
      <w:pPr>
        <w:pStyle w:val="ListParagraph"/>
        <w:numPr>
          <w:ilvl w:val="0"/>
          <w:numId w:val="2"/>
        </w:numPr>
        <w:spacing w:after="60" w:before="60"/>
      </w:pPr>
      <w:r>
        <w:rPr>
          <w:rFonts w:ascii="Arial" w:cs="Arial" w:eastAsia="Arial" w:hAnsi="Arial"/>
          <w:sz w:val="22"/>
          <w:szCs w:val="22"/>
        </w:rPr>
        <w:t xml:space="preserve">Subscription tiers govern listing capacity, not role access</w:t>
      </w:r>
    </w:p>
    <w:p>
      <w:pPr>
        <w:pStyle w:val="ListParagraph"/>
        <w:numPr>
          <w:ilvl w:val="0"/>
          <w:numId w:val="2"/>
        </w:numPr>
        <w:spacing w:after="60" w:before="60"/>
      </w:pPr>
      <w:r>
        <w:rPr>
          <w:rFonts w:ascii="Arial" w:cs="Arial" w:eastAsia="Arial" w:hAnsi="Arial"/>
          <w:sz w:val="22"/>
          <w:szCs w:val="22"/>
        </w:rPr>
        <w:t xml:space="preserve">Tuppence is spent by any user who initiates an introduction, in the moment of seeking</w:t>
      </w:r>
    </w:p>
    <w:p>
      <w:pPr>
        <w:pStyle w:val="ListParagraph"/>
        <w:numPr>
          <w:ilvl w:val="0"/>
          <w:numId w:val="2"/>
        </w:numPr>
        <w:spacing w:after="60" w:before="60"/>
      </w:pPr>
      <w:r>
        <w:rPr>
          <w:rFonts w:ascii="Arial" w:cs="Arial" w:eastAsia="Arial" w:hAnsi="Arial"/>
          <w:sz w:val="22"/>
          <w:szCs w:val="22"/>
        </w:rPr>
        <w:t xml:space="preserve">The Founders Badge belongs to a person, not a role</w:t>
      </w:r>
    </w:p>
    <w:p>
      <w:r>
        <w:t xml:space="preserve"/>
      </w:r>
    </w:p>
    <w:p>
      <w:pPr>
        <w:pStyle w:val="Heading2"/>
        <w:spacing w:after="150" w:before="300"/>
      </w:pPr>
      <w:r>
        <w:rPr>
          <w:rFonts w:ascii="Arial" w:cs="Arial" w:eastAsia="Arial" w:hAnsi="Arial"/>
          <w:b/>
          <w:bCs/>
          <w:color w:val="2E75B6"/>
          <w:sz w:val="26"/>
          <w:szCs w:val="26"/>
        </w:rPr>
        <w:t xml:space="preserve">3.2  Anonymous Listings</w:t>
      </w:r>
    </w:p>
    <w:p>
      <w:pPr>
        <w:spacing w:after="100" w:before="100" w:line="276"/>
      </w:pPr>
      <w:r>
        <w:rPr>
          <w:rFonts w:ascii="Arial" w:cs="Arial" w:eastAsia="Arial" w:hAnsi="Arial"/>
          <w:sz w:val="22"/>
          <w:szCs w:val="22"/>
        </w:rPr>
        <w:t xml:space="preserve">Users list products or services on the MarketSquare platform without their identity being disclosed to other users browsing the marketplace. The listing showcases the product or service — price, description, category, location radius — but the listing party remains anonymous until an introduction is formally made. This protects listing parties from unsolicited contact and creates a clean separation between discovery and connection.</w:t>
      </w:r>
    </w:p>
    <w:p>
      <w:r>
        <w:t xml:space="preserve"/>
      </w:r>
    </w:p>
    <w:p>
      <w:pPr>
        <w:pStyle w:val="Heading2"/>
        <w:spacing w:after="150" w:before="300"/>
      </w:pPr>
      <w:r>
        <w:rPr>
          <w:rFonts w:ascii="Arial" w:cs="Arial" w:eastAsia="Arial" w:hAnsi="Arial"/>
          <w:b/>
          <w:bCs/>
          <w:color w:val="2E75B6"/>
          <w:sz w:val="26"/>
          <w:szCs w:val="26"/>
        </w:rPr>
        <w:t xml:space="preserve">3.3  The Tuppence Introduction</w:t>
      </w:r>
    </w:p>
    <w:p>
      <w:pPr>
        <w:spacing w:after="100" w:before="100" w:line="276"/>
      </w:pPr>
      <w:r>
        <w:rPr>
          <w:rFonts w:ascii="Arial" w:cs="Arial" w:eastAsia="Arial" w:hAnsi="Arial"/>
          <w:sz w:val="22"/>
          <w:szCs w:val="22"/>
        </w:rPr>
        <w:t xml:space="preserve">When a user identifies a listing of interest and wishes to connect with the listing party, they initiate an introduction request. The platform presents the requesting user with a clear approval step — the user consciously consents to the introduction and to the associated Tuppence charge of US $2.00. Only upon confirmation is the Tuppence deducted and the introduction made. At this moment, and only at this moment, identities are exchanged between the two parties.</w:t>
      </w:r>
    </w:p>
    <w:p>
      <w:r>
        <w:t xml:space="preserve"/>
      </w:r>
    </w:p>
    <w:p>
      <w:pPr>
        <w:spacing w:after="100" w:before="100" w:line="276"/>
      </w:pPr>
      <w:r>
        <w:rPr>
          <w:rFonts w:ascii="Arial" w:cs="Arial" w:eastAsia="Arial" w:hAnsi="Arial"/>
          <w:sz w:val="22"/>
          <w:szCs w:val="22"/>
        </w:rPr>
        <w:t xml:space="preserve">The Tuppence serves three simultaneous functions:</w:t>
      </w:r>
    </w:p>
    <w:p>
      <w:pPr>
        <w:pStyle w:val="ListParagraph"/>
        <w:numPr>
          <w:ilvl w:val="0"/>
          <w:numId w:val="2"/>
        </w:numPr>
        <w:spacing w:after="60" w:before="60"/>
      </w:pPr>
      <w:r>
        <w:rPr>
          <w:rFonts w:ascii="Arial" w:cs="Arial" w:eastAsia="Arial" w:hAnsi="Arial"/>
          <w:sz w:val="22"/>
          <w:szCs w:val="22"/>
        </w:rPr>
        <w:t xml:space="preserve">Commercial commitment signal — the requesting user has genuine intent, filtering casual browsers</w:t>
      </w:r>
    </w:p>
    <w:p>
      <w:pPr>
        <w:pStyle w:val="ListParagraph"/>
        <w:numPr>
          <w:ilvl w:val="0"/>
          <w:numId w:val="2"/>
        </w:numPr>
        <w:spacing w:after="60" w:before="60"/>
      </w:pPr>
      <w:r>
        <w:rPr>
          <w:rFonts w:ascii="Arial" w:cs="Arial" w:eastAsia="Arial" w:hAnsi="Arial"/>
          <w:sz w:val="22"/>
          <w:szCs w:val="22"/>
        </w:rPr>
        <w:t xml:space="preserve">Platform revenue event — the sole transactional income of TrustSquare at the moment of introduction</w:t>
      </w:r>
    </w:p>
    <w:p>
      <w:pPr>
        <w:pStyle w:val="ListParagraph"/>
        <w:numPr>
          <w:ilvl w:val="0"/>
          <w:numId w:val="2"/>
        </w:numPr>
        <w:spacing w:after="60" w:before="60"/>
      </w:pPr>
      <w:r>
        <w:rPr>
          <w:rFonts w:ascii="Arial" w:cs="Arial" w:eastAsia="Arial" w:hAnsi="Arial"/>
          <w:sz w:val="22"/>
          <w:szCs w:val="22"/>
        </w:rPr>
        <w:t xml:space="preserve">Introduction trigger — the payment event itself is the mechanism that initiates the connection</w:t>
      </w:r>
    </w:p>
    <w:p>
      <w:r>
        <w:t xml:space="preserve"/>
      </w:r>
    </w:p>
    <w:p>
      <w:pPr>
        <w:pStyle w:val="Heading2"/>
        <w:spacing w:after="150" w:before="300"/>
      </w:pPr>
      <w:r>
        <w:rPr>
          <w:rFonts w:ascii="Arial" w:cs="Arial" w:eastAsia="Arial" w:hAnsi="Arial"/>
          <w:b/>
          <w:bCs/>
          <w:color w:val="2E75B6"/>
          <w:sz w:val="26"/>
          <w:szCs w:val="26"/>
        </w:rPr>
        <w:t xml:space="preserve">3.4  Non-Custodial Facilitation</w:t>
      </w:r>
    </w:p>
    <w:p>
      <w:pPr>
        <w:spacing w:after="100" w:before="100" w:line="276"/>
      </w:pPr>
      <w:r>
        <w:rPr>
          <w:rFonts w:ascii="Arial" w:cs="Arial" w:eastAsia="Arial" w:hAnsi="Arial"/>
          <w:sz w:val="22"/>
          <w:szCs w:val="22"/>
        </w:rPr>
        <w:t xml:space="preserve">TrustSquare never holds user funds beyond the moment of the Tuppence transaction. The platform is not a payment intermediary, escrow agent, or financial institution. Its sole commercial act is collecting the Tuppence at introduction. All subsequent commercial activity between the introduced parties occurs outside the platform, between the two directly.</w:t>
      </w:r>
    </w:p>
    <w:p>
      <w:r>
        <w:t xml:space="preserve"/>
      </w:r>
    </w:p>
    <w:p>
      <w:pPr>
        <w:pStyle w:val="Heading2"/>
        <w:spacing w:after="150" w:before="300"/>
      </w:pPr>
      <w:r>
        <w:rPr>
          <w:rFonts w:ascii="Arial" w:cs="Arial" w:eastAsia="Arial" w:hAnsi="Arial"/>
          <w:b/>
          <w:bCs/>
          <w:color w:val="2E75B6"/>
          <w:sz w:val="26"/>
          <w:szCs w:val="26"/>
        </w:rPr>
        <w:t xml:space="preserve">3.5  Dual Trust Vetting</w:t>
      </w:r>
    </w:p>
    <w:p>
      <w:pPr>
        <w:spacing w:after="100" w:before="100" w:line="276"/>
      </w:pPr>
      <w:r>
        <w:rPr>
          <w:rFonts w:ascii="Arial" w:cs="Arial" w:eastAsia="Arial" w:hAnsi="Arial"/>
          <w:sz w:val="22"/>
          <w:szCs w:val="22"/>
        </w:rPr>
        <w:t xml:space="preserve">Every user is vetted across both their listing and seeking activity:</w:t>
      </w:r>
    </w:p>
    <w:p>
      <w:pPr>
        <w:pStyle w:val="ListParagraph"/>
        <w:numPr>
          <w:ilvl w:val="0"/>
          <w:numId w:val="2"/>
        </w:numPr>
        <w:spacing w:after="60" w:before="60"/>
      </w:pPr>
      <w:r>
        <w:rPr>
          <w:rFonts w:ascii="Arial" w:cs="Arial" w:eastAsia="Arial" w:hAnsi="Arial"/>
          <w:sz w:val="22"/>
          <w:szCs w:val="22"/>
        </w:rPr>
        <w:t xml:space="preserve">Trust Score is a dynamic universal score reflecting a user's history of responsiveness, accuracy of listings, stock availability, complaint record, and conduct as an introduction initiator. The same score applies whether the user is listing or seeking at any given moment.</w:t>
      </w:r>
    </w:p>
    <w:p>
      <w:pPr>
        <w:pStyle w:val="ListParagraph"/>
        <w:numPr>
          <w:ilvl w:val="0"/>
          <w:numId w:val="2"/>
        </w:numPr>
        <w:spacing w:after="60" w:before="60"/>
      </w:pPr>
      <w:r>
        <w:rPr>
          <w:rFonts w:ascii="Arial" w:cs="Arial" w:eastAsia="Arial" w:hAnsi="Arial"/>
          <w:sz w:val="22"/>
          <w:szCs w:val="22"/>
        </w:rPr>
        <w:t xml:space="preserve">Commitment is demonstrated through the Tuppence mechanism itself — the $2 micro-investment required to initiate an introduction is a frictionless but meaningful signal of genuine interest.</w:t>
      </w:r>
    </w:p>
    <w:p>
      <w:r>
        <w:t xml:space="preserve"/>
      </w:r>
    </w:p>
    <w:p>
      <w:pPr>
        <w:pStyle w:val="Heading2"/>
        <w:spacing w:after="150" w:before="300"/>
      </w:pPr>
      <w:r>
        <w:rPr>
          <w:rFonts w:ascii="Arial" w:cs="Arial" w:eastAsia="Arial" w:hAnsi="Arial"/>
          <w:b/>
          <w:bCs/>
          <w:color w:val="2E75B6"/>
          <w:sz w:val="26"/>
          <w:szCs w:val="26"/>
        </w:rPr>
        <w:t xml:space="preserve">3.6  Dual Introduction Model</w:t>
      </w:r>
    </w:p>
    <w:p>
      <w:pPr>
        <w:spacing w:after="100" w:before="100" w:line="276"/>
      </w:pPr>
      <w:r>
        <w:rPr>
          <w:rFonts w:ascii="Arial" w:cs="Arial" w:eastAsia="Arial" w:hAnsi="Arial"/>
          <w:sz w:val="22"/>
          <w:szCs w:val="22"/>
        </w:rPr>
        <w:t xml:space="preserve">TrustSquare applies two distinct introduction models depending on listing category, automatically selected by the platform:</w:t>
      </w:r>
    </w:p>
    <w:p>
      <w:pPr>
        <w:pStyle w:val="ListParagraph"/>
        <w:numPr>
          <w:ilvl w:val="0"/>
          <w:numId w:val="2"/>
        </w:numPr>
        <w:spacing w:after="60" w:before="60"/>
      </w:pPr>
      <w:r>
        <w:rPr>
          <w:rFonts w:ascii="Arial" w:cs="Arial" w:eastAsia="Arial" w:hAnsi="Arial"/>
          <w:sz w:val="22"/>
          <w:szCs w:val="22"/>
        </w:rPr>
        <w:t xml:space="preserve">Commitment Model — applied to Property and Cars categories. The listing is paused on introduction request; up to three concurrent inquiring users may be queued; if the listing party declines or ignores a request, the listing party is charged one Tuppence to re-list. This protects serious inquirers from parallel negotiations and creates listing-party accountability.</w:t>
      </w:r>
    </w:p>
    <w:p>
      <w:pPr>
        <w:pStyle w:val="ListParagraph"/>
        <w:numPr>
          <w:ilvl w:val="0"/>
          <w:numId w:val="2"/>
        </w:numPr>
        <w:spacing w:after="60" w:before="60"/>
      </w:pPr>
      <w:r>
        <w:rPr>
          <w:rFonts w:ascii="Arial" w:cs="Arial" w:eastAsia="Arial" w:hAnsi="Arial"/>
          <w:sz w:val="22"/>
          <w:szCs w:val="22"/>
        </w:rPr>
        <w:t xml:space="preserve">Soft Queue Model — applied to Tutors, Services, Adventures, and Collectors. The listing remains live; unlimited simultaneous introduction requests are permitted; listing parties have a 48-hour response window. This model suits availability-based and service categories where parallel inquiries are expected and appropriate.</w:t>
      </w:r>
    </w:p>
    <w:p>
      <w:r>
        <w:t xml:space="preserve"/>
      </w:r>
    </w:p>
    <w:p>
      <w:pPr>
        <w:pStyle w:val="Heading2"/>
        <w:spacing w:after="150" w:before="300"/>
      </w:pPr>
      <w:r>
        <w:rPr>
          <w:rFonts w:ascii="Arial" w:cs="Arial" w:eastAsia="Arial" w:hAnsi="Arial"/>
          <w:b/>
          <w:bCs/>
          <w:color w:val="2E75B6"/>
          <w:sz w:val="26"/>
          <w:szCs w:val="26"/>
        </w:rPr>
        <w:t xml:space="preserve">3.7  Segregated AI Guidance Currency</w:t>
      </w:r>
    </w:p>
    <w:p>
      <w:pPr>
        <w:spacing w:after="100" w:before="100" w:line="276"/>
      </w:pPr>
      <w:r>
        <w:rPr>
          <w:rFonts w:ascii="Arial" w:cs="Arial" w:eastAsia="Arial" w:hAnsi="Arial"/>
          <w:sz w:val="22"/>
          <w:szCs w:val="22"/>
        </w:rPr>
        <w:t xml:space="preserve">TrustSquare maintains two separate credit pools within every user wallet: Introduction Tuppence (used solely to purchase introductions) and AI Guidance credits (used solely for AI-assisted coaching, negotiation, listing structuring, and market insight services). This segregation guarantees that AI service usage cannot deplete introduction-purchasing capacity, and gives users transparent control over their two distinct cost categories.</w:t>
      </w:r>
    </w:p>
    <w:p>
      <w:r>
        <w:t xml:space="preserve"/>
      </w:r>
    </w:p>
    <w:p>
      <w:pPr>
        <w:pStyle w:val="Heading2"/>
        <w:spacing w:after="150" w:before="300"/>
      </w:pPr>
      <w:r>
        <w:rPr>
          <w:rFonts w:ascii="Arial" w:cs="Arial" w:eastAsia="Arial" w:hAnsi="Arial"/>
          <w:b/>
          <w:bCs/>
          <w:color w:val="2E75B6"/>
          <w:sz w:val="26"/>
          <w:szCs w:val="26"/>
        </w:rPr>
        <w:t xml:space="preserve">3.8  Foundational Principle: Equal Treatment Architecture</w:t>
      </w:r>
    </w:p>
    <w:p>
      <w:pPr>
        <w:spacing w:after="100" w:before="100" w:line="276"/>
      </w:pPr>
      <w:r>
        <w:rPr>
          <w:rFonts w:ascii="Arial" w:cs="Arial" w:eastAsia="Arial" w:hAnsi="Arial"/>
          <w:sz w:val="22"/>
          <w:szCs w:val="22"/>
        </w:rPr>
        <w:t xml:space="preserve">Underlying every mechanism described above is a single, non-negotiable moral foundation: money cannot be used to escape accountability. No user — regardless of subscription tier, trust score, or commercial value — may purchase exemption from the platform's behavioural rules.</w:t>
      </w:r>
    </w:p>
    <w:p>
      <w:r>
        <w:t xml:space="preserve"/>
      </w:r>
    </w:p>
    <w:p>
      <w:pPr>
        <w:spacing w:after="100" w:before="100" w:line="276"/>
      </w:pPr>
      <w:r>
        <w:rPr>
          <w:rFonts w:ascii="Arial" w:cs="Arial" w:eastAsia="Arial" w:hAnsi="Arial"/>
          <w:sz w:val="22"/>
          <w:szCs w:val="22"/>
        </w:rPr>
        <w:t xml:space="preserve">This principle manifests concretely as follows:</w:t>
      </w:r>
    </w:p>
    <w:p>
      <w:pPr>
        <w:pStyle w:val="ListParagraph"/>
        <w:numPr>
          <w:ilvl w:val="0"/>
          <w:numId w:val="2"/>
        </w:numPr>
        <w:spacing w:after="60" w:before="60"/>
      </w:pPr>
      <w:r>
        <w:rPr>
          <w:rFonts w:ascii="Arial" w:cs="Arial" w:eastAsia="Arial" w:hAnsi="Arial"/>
          <w:sz w:val="22"/>
          <w:szCs w:val="22"/>
        </w:rPr>
        <w:t xml:space="preserve">Fade-out triggers apply equally across all tiers — a $15 International subscriber receives the same penalty for false advertising as a Free tier user</w:t>
      </w:r>
    </w:p>
    <w:p>
      <w:pPr>
        <w:pStyle w:val="ListParagraph"/>
        <w:numPr>
          <w:ilvl w:val="0"/>
          <w:numId w:val="2"/>
        </w:numPr>
        <w:spacing w:after="60" w:before="60"/>
      </w:pPr>
      <w:r>
        <w:rPr>
          <w:rFonts w:ascii="Arial" w:cs="Arial" w:eastAsia="Arial" w:hAnsi="Arial"/>
          <w:sz w:val="22"/>
          <w:szCs w:val="22"/>
        </w:rPr>
        <w:t xml:space="preserve">The Tuppence is a fixed US $2.00 for every introduction, every time — there are no 'premium introductions' that bypass the system</w:t>
      </w:r>
    </w:p>
    <w:p>
      <w:pPr>
        <w:pStyle w:val="ListParagraph"/>
        <w:numPr>
          <w:ilvl w:val="0"/>
          <w:numId w:val="2"/>
        </w:numPr>
        <w:spacing w:after="60" w:before="60"/>
      </w:pPr>
      <w:r>
        <w:rPr>
          <w:rFonts w:ascii="Arial" w:cs="Arial" w:eastAsia="Arial" w:hAnsi="Arial"/>
          <w:sz w:val="22"/>
          <w:szCs w:val="22"/>
        </w:rPr>
        <w:t xml:space="preserve">Trust Score cannot be purchased or boosted for payment — it is earned solely through verified behaviour</w:t>
      </w:r>
    </w:p>
    <w:p>
      <w:pPr>
        <w:pStyle w:val="ListParagraph"/>
        <w:numPr>
          <w:ilvl w:val="0"/>
          <w:numId w:val="2"/>
        </w:numPr>
        <w:spacing w:after="60" w:before="60"/>
      </w:pPr>
      <w:r>
        <w:rPr>
          <w:rFonts w:ascii="Arial" w:cs="Arial" w:eastAsia="Arial" w:hAnsi="Arial"/>
          <w:sz w:val="22"/>
          <w:szCs w:val="22"/>
        </w:rPr>
        <w:t xml:space="preserve">Subscription tiers expand capacity (listing count, AI uses, starter Tuppence allocation, geographic visibility), never privilege (dispute priority, penalty immunity, moderation leniency)</w:t>
      </w:r>
    </w:p>
    <w:p>
      <w:pPr>
        <w:pStyle w:val="ListParagraph"/>
        <w:numPr>
          <w:ilvl w:val="0"/>
          <w:numId w:val="2"/>
        </w:numPr>
        <w:spacing w:after="60" w:before="60"/>
      </w:pPr>
      <w:r>
        <w:rPr>
          <w:rFonts w:ascii="Arial" w:cs="Arial" w:eastAsia="Arial" w:hAnsi="Arial"/>
          <w:sz w:val="22"/>
          <w:szCs w:val="22"/>
        </w:rPr>
        <w:t xml:space="preserve">No tier can buy faster resolution, preferential dispute handling, or exemption from response-time requirements</w:t>
      </w:r>
    </w:p>
    <w:p>
      <w:r>
        <w:t xml:space="preserve"/>
      </w:r>
    </w:p>
    <w:p>
      <w:pPr>
        <w:spacing w:after="100" w:before="100" w:line="276"/>
      </w:pPr>
      <w:r>
        <w:rPr>
          <w:rFonts w:ascii="Arial" w:cs="Arial" w:eastAsia="Arial" w:hAnsi="Arial"/>
          <w:sz w:val="22"/>
          <w:szCs w:val="22"/>
        </w:rPr>
        <w:t xml:space="preserve">This stands in deliberate opposition to the prevailing marketplace industry norm, in which higher-paying users routinely receive preferential treatment in disputes, faster support response, and implicit latitude for behavioural violations. TrustSquare rejects this model on principle: trust is earned through conduct, not purchased through payment.</w:t>
      </w:r>
    </w:p>
    <w:p>
      <w:r>
        <w:t xml:space="preserve"/>
      </w:r>
    </w:p>
    <w:p>
      <w:pPr>
        <w:pStyle w:val="Heading2"/>
        <w:spacing w:after="150" w:before="300"/>
      </w:pPr>
      <w:r>
        <w:rPr>
          <w:rFonts w:ascii="Arial" w:cs="Arial" w:eastAsia="Arial" w:hAnsi="Arial"/>
          <w:b/>
          <w:bCs/>
          <w:color w:val="2E75B6"/>
          <w:sz w:val="26"/>
          <w:szCs w:val="26"/>
        </w:rPr>
        <w:t xml:space="preserve">3.9  Identity-Verified Trust Infrastructure</w:t>
      </w:r>
    </w:p>
    <w:p>
      <w:pPr>
        <w:spacing w:after="100" w:before="100" w:line="276"/>
      </w:pPr>
      <w:r>
        <w:rPr>
          <w:rFonts w:ascii="Arial" w:cs="Arial" w:eastAsia="Arial" w:hAnsi="Arial"/>
          <w:sz w:val="22"/>
          <w:szCs w:val="22"/>
        </w:rPr>
        <w:t xml:space="preserve">TrustSquare operates within a framework of identity verification that is compliant with applicable data protection legislation, including the South African Protection of Personal Information Act (POPI Act) and equivalent international KYC (Know Your Customer) standards. Every user is subject to identity verification as part of the onboarding process.</w:t>
      </w:r>
    </w:p>
    <w:p>
      <w:r>
        <w:t xml:space="preserve"/>
      </w:r>
    </w:p>
    <w:p>
      <w:pPr>
        <w:spacing w:after="100" w:before="100" w:line="276"/>
      </w:pPr>
      <w:r>
        <w:rPr>
          <w:rFonts w:ascii="Arial" w:cs="Arial" w:eastAsia="Arial" w:hAnsi="Arial"/>
          <w:sz w:val="22"/>
          <w:szCs w:val="22"/>
        </w:rPr>
        <w:t xml:space="preserve">Identity verification is directly linked to Trust Score: users who successfully complete verification receive a positive Trust Score adjustment, visible to other users as an indicator of legitimacy. The Trust Score reflects the fact of verification, never its content. Personal identification data is never disclosed to other users, never displayed on profiles, and is handled internally under encryption and access control appropriate to the protected nature of the information.</w:t>
      </w:r>
    </w:p>
    <w:p>
      <w:r>
        <w:t xml:space="preserve"/>
      </w:r>
    </w:p>
    <w:p>
      <w:pPr>
        <w:spacing w:after="100" w:before="100" w:line="276"/>
      </w:pPr>
      <w:r>
        <w:rPr>
          <w:rFonts w:ascii="Arial" w:cs="Arial" w:eastAsia="Arial" w:hAnsi="Arial"/>
          <w:sz w:val="22"/>
          <w:szCs w:val="22"/>
        </w:rPr>
        <w:t xml:space="preserve">This architecture creates a three-way beneficial alignment: users are incentivised to verify (higher trust score drives more successful introductions in both directions), users are protected in doing so (their data is never exposed), and the platform population as a whole becomes safer through broad verified identity presence.</w:t>
      </w:r>
    </w:p>
    <w:p>
      <w:r>
        <w:t xml:space="preserve"/>
      </w:r>
    </w:p>
    <w:p>
      <w:pPr>
        <w:pStyle w:val="Heading2"/>
        <w:spacing w:after="150" w:before="300"/>
      </w:pPr>
      <w:r>
        <w:rPr>
          <w:rFonts w:ascii="Arial" w:cs="Arial" w:eastAsia="Arial" w:hAnsi="Arial"/>
          <w:b/>
          <w:bCs/>
          <w:color w:val="2E75B6"/>
          <w:sz w:val="26"/>
          <w:szCs w:val="26"/>
        </w:rPr>
        <w:t xml:space="preserve">3.10  A Category-of-One Position</w:t>
      </w:r>
    </w:p>
    <w:p>
      <w:pPr>
        <w:spacing w:after="100" w:before="100" w:line="276"/>
      </w:pPr>
      <w:r>
        <w:rPr>
          <w:rFonts w:ascii="Arial" w:cs="Arial" w:eastAsia="Arial" w:hAnsi="Arial"/>
          <w:sz w:val="22"/>
          <w:szCs w:val="22"/>
        </w:rPr>
        <w:t xml:space="preserve">Taken individually, each mechanism described in Sections 3.1 through 3.9 addresses a specific failure of conventional marketplace architecture. Taken together, they describe something categorically different from existing platforms: a marketplace that does not sell attention, does not hold money, does not rank by payment, does not separate buyers from sellers, and does not permit trust to be purchased.</w:t>
      </w:r>
    </w:p>
    <w:p>
      <w:r>
        <w:t xml:space="preserve"/>
      </w:r>
    </w:p>
    <w:p>
      <w:pPr>
        <w:spacing w:after="100" w:before="100" w:line="276"/>
      </w:pPr>
      <w:r>
        <w:rPr>
          <w:rFonts w:ascii="Arial" w:cs="Arial" w:eastAsia="Arial" w:hAnsi="Arial"/>
          <w:sz w:val="22"/>
          <w:szCs w:val="22"/>
        </w:rPr>
        <w:t xml:space="preserve">TrustSquare is therefore not positioned as a better alternative to Facebook Marketplace, eBay, Craigslist, or Amazon. It is positioned as a different category of commercial infrastructure — one in which the platform's role is minimal, the user's role is unified, and the economic incentives align with honest conduct rather than extractive engagement. The Unified Participation Model described in this paper is the architectural expression of that category distinction.</w:t>
      </w:r>
    </w:p>
    <w:p>
      <w:r>
        <w:t xml:space="preserve"/>
      </w:r>
    </w:p>
    <w:p>
      <w:pPr>
        <w:spacing w:after="100" w:before="100" w:line="276"/>
      </w:pPr>
      <w:r>
        <w:rPr>
          <w:rFonts w:ascii="Arial" w:cs="Arial" w:eastAsia="Arial" w:hAnsi="Arial"/>
          <w:sz w:val="22"/>
          <w:szCs w:val="22"/>
        </w:rPr>
        <w:t xml:space="preserve">This positioning is stated factually, not promotionally. The mechanisms described herein either exist in the TrustSquare platform at the date of this publication, or are architecturally committed to as part of the platform's active development roadmap. No claims are made about user outcomes, market share, behavioural prediction, or economic impact that have not been observed or are not directly attributable to the documented mechanisms.</w:t>
      </w:r>
    </w:p>
    <w:p>
      <w:r>
        <w:t xml:space="preserve"/>
      </w:r>
    </w:p>
    <w:p>
      <w:pPr>
        <w:pStyle w:val="Heading2"/>
        <w:spacing w:after="150" w:before="300"/>
      </w:pPr>
      <w:r>
        <w:rPr>
          <w:rFonts w:ascii="Arial" w:cs="Arial" w:eastAsia="Arial" w:hAnsi="Arial"/>
          <w:b/>
          <w:bCs/>
          <w:color w:val="2E75B6"/>
          <w:sz w:val="26"/>
          <w:szCs w:val="26"/>
        </w:rPr>
        <w:t xml:space="preserve">3.11  The Common Good Covenant</w:t>
      </w:r>
    </w:p>
    <w:p>
      <w:pPr>
        <w:spacing w:after="100" w:before="100" w:line="276"/>
      </w:pPr>
      <w:r>
        <w:rPr>
          <w:rFonts w:ascii="Arial" w:cs="Arial" w:eastAsia="Arial" w:hAnsi="Arial"/>
          <w:sz w:val="22"/>
          <w:szCs w:val="22"/>
        </w:rPr>
        <w:t xml:space="preserve">Underlying every architectural and mechanical decision described in this paper is a named foundational principle: the Common Good Covenant. This is the platform's definition of what it means to be 'free' on TrustSquare. Freedom on TrustSquare is not absence of obligation. It is freedom exercised within three clear boundaries:</w:t>
      </w:r>
    </w:p>
    <w:p>
      <w:r>
        <w:t xml:space="preserve"/>
      </w:r>
    </w:p>
    <w:p>
      <w:pPr>
        <w:pStyle w:val="ListParagraph"/>
        <w:numPr>
          <w:ilvl w:val="0"/>
          <w:numId w:val="2"/>
        </w:numPr>
        <w:spacing w:after="60" w:before="60"/>
      </w:pPr>
      <w:r>
        <w:rPr>
          <w:rFonts w:ascii="Arial" w:cs="Arial" w:eastAsia="Arial" w:hAnsi="Arial"/>
          <w:sz w:val="22"/>
          <w:szCs w:val="22"/>
        </w:rPr>
        <w:t xml:space="preserve">Within the law — users operate within the legal frameworks of the jurisdictions in which they reside and in which they transact. The platform does not attempt to provide freedoms that the law does not grant.</w:t>
      </w:r>
    </w:p>
    <w:p>
      <w:pPr>
        <w:pStyle w:val="ListParagraph"/>
        <w:numPr>
          <w:ilvl w:val="0"/>
          <w:numId w:val="2"/>
        </w:numPr>
        <w:spacing w:after="60" w:before="60"/>
      </w:pPr>
      <w:r>
        <w:rPr>
          <w:rFonts w:ascii="Arial" w:cs="Arial" w:eastAsia="Arial" w:hAnsi="Arial"/>
          <w:sz w:val="22"/>
          <w:szCs w:val="22"/>
        </w:rPr>
        <w:t xml:space="preserve">For the common good — a user's freedom must serve, or at minimum not harm, the shared marketplace and the other users participating in it. Polluting the marketplace with stale, inaccurate, or deceptive listings breaches this covenant.</w:t>
      </w:r>
    </w:p>
    <w:p>
      <w:pPr>
        <w:pStyle w:val="ListParagraph"/>
        <w:numPr>
          <w:ilvl w:val="0"/>
          <w:numId w:val="2"/>
        </w:numPr>
        <w:spacing w:after="60" w:before="60"/>
      </w:pPr>
      <w:r>
        <w:rPr>
          <w:rFonts w:ascii="Arial" w:cs="Arial" w:eastAsia="Arial" w:hAnsi="Arial"/>
          <w:sz w:val="22"/>
          <w:szCs w:val="22"/>
        </w:rPr>
        <w:t xml:space="preserve">Protecting the weak and innocent — freedom is conditional on not using it as a weapon against those with less power, information, or resources. The Covenant actively privileges the integrity of the exchange over the convenience of any individual party.</w:t>
      </w:r>
    </w:p>
    <w:p>
      <w:r>
        <w:t xml:space="preserve"/>
      </w:r>
    </w:p>
    <w:p>
      <w:pPr>
        <w:spacing w:after="100" w:before="100" w:line="276"/>
      </w:pPr>
      <w:r>
        <w:rPr>
          <w:rFonts w:ascii="Arial" w:cs="Arial" w:eastAsia="Arial" w:hAnsi="Arial"/>
          <w:sz w:val="22"/>
          <w:szCs w:val="22"/>
        </w:rPr>
        <w:t xml:space="preserve">This framing has direct architectural consequences throughout the TrustSquare system:</w:t>
      </w:r>
    </w:p>
    <w:p>
      <w:r>
        <w:t xml:space="preserve"/>
      </w:r>
    </w:p>
    <w:p>
      <w:pPr>
        <w:pStyle w:val="ListParagraph"/>
        <w:numPr>
          <w:ilvl w:val="0"/>
          <w:numId w:val="2"/>
        </w:numPr>
        <w:spacing w:after="60" w:before="60"/>
      </w:pPr>
      <w:r>
        <w:rPr>
          <w:rFonts w:ascii="Arial" w:cs="Arial" w:eastAsia="Arial" w:hAnsi="Arial"/>
          <w:sz w:val="22"/>
          <w:szCs w:val="22"/>
        </w:rPr>
        <w:t xml:space="preserve">The marketplace hygiene engine (Section 4, Claim 2) is not a penalty mechanism. Listings that cease to comply with the Covenant — through stock unavailability, misrepresentation, post-listing price manipulation, or abandonment — are removed from discovery as an act of custodianship on behalf of all users, not as punishment of the listing party.</w:t>
      </w:r>
    </w:p>
    <w:p>
      <w:pPr>
        <w:pStyle w:val="ListParagraph"/>
        <w:numPr>
          <w:ilvl w:val="0"/>
          <w:numId w:val="2"/>
        </w:numPr>
        <w:spacing w:after="60" w:before="60"/>
      </w:pPr>
      <w:r>
        <w:rPr>
          <w:rFonts w:ascii="Arial" w:cs="Arial" w:eastAsia="Arial" w:hAnsi="Arial"/>
          <w:sz w:val="22"/>
          <w:szCs w:val="22"/>
        </w:rPr>
        <w:t xml:space="preserve">The Tuppence introduction is fixed at US $2.00 for every user, every introduction, every time, because the price of connection should not vary with what any party can afford or is willing to pay to advantage themselves over others.</w:t>
      </w:r>
    </w:p>
    <w:p>
      <w:pPr>
        <w:pStyle w:val="ListParagraph"/>
        <w:numPr>
          <w:ilvl w:val="0"/>
          <w:numId w:val="2"/>
        </w:numPr>
        <w:spacing w:after="60" w:before="60"/>
      </w:pPr>
      <w:r>
        <w:rPr>
          <w:rFonts w:ascii="Arial" w:cs="Arial" w:eastAsia="Arial" w:hAnsi="Arial"/>
          <w:sz w:val="22"/>
          <w:szCs w:val="22"/>
        </w:rPr>
        <w:t xml:space="preserve">Trust Score is earned solely through verified behaviour and cannot be purchased, because reputation traded for money would undermine the covenant's promise that the weak and innocent are protected from those who would pay to appear trustworthy without being so.</w:t>
      </w:r>
    </w:p>
    <w:p>
      <w:pPr>
        <w:pStyle w:val="ListParagraph"/>
        <w:numPr>
          <w:ilvl w:val="0"/>
          <w:numId w:val="2"/>
        </w:numPr>
        <w:spacing w:after="60" w:before="60"/>
      </w:pPr>
      <w:r>
        <w:rPr>
          <w:rFonts w:ascii="Arial" w:cs="Arial" w:eastAsia="Arial" w:hAnsi="Arial"/>
          <w:sz w:val="22"/>
          <w:szCs w:val="22"/>
        </w:rPr>
        <w:t xml:space="preserve">Subscription tiers expand capacity only (listing count, AI uses, starter allocations, geographic reach). They do not confer dispute priority, penalty immunity, or moderation leniency, because the Covenant applies equally to all participants regardless of commercial standing.</w:t>
      </w:r>
    </w:p>
    <w:p>
      <w:r>
        <w:t xml:space="preserve"/>
      </w:r>
    </w:p>
    <w:p>
      <w:pPr>
        <w:spacing w:after="100" w:before="100" w:line="276"/>
      </w:pPr>
      <w:r>
        <w:rPr>
          <w:rFonts w:ascii="Arial" w:cs="Arial" w:eastAsia="Arial" w:hAnsi="Arial"/>
          <w:sz w:val="22"/>
          <w:szCs w:val="22"/>
        </w:rPr>
        <w:t xml:space="preserve">The Common Good Covenant reconciles an apparent tension in the platform: the live application states that 'sellers are free to list, and there are no penalties for anyone' — and this statement is accurate. There are no penalties because the system is not punitive. There is custodianship: the platform takes care of the marketplace on everyone's behalf, and that care sometimes requires removing listings that have ceased to serve the common good. Freedom, correctly understood, is what the Covenant protects. Absence of consequence for breaching the covenant would not be freedom for anyone; it would be freedom for the breacher at the cost of everyone else.</w:t>
      </w:r>
    </w:p>
    <w:p>
      <w:r>
        <w:t xml:space="preserve"/>
      </w:r>
    </w:p>
    <w:p>
      <w:pPr>
        <w:spacing w:after="100" w:before="100" w:line="276"/>
      </w:pPr>
      <w:r>
        <w:rPr>
          <w:rFonts w:ascii="Arial" w:cs="Arial" w:eastAsia="Arial" w:hAnsi="Arial"/>
          <w:i/>
          <w:iCs/>
          <w:sz w:val="22"/>
          <w:szCs w:val="22"/>
        </w:rPr>
        <w:t xml:space="preserve">This principle is disclosed as an architectural foundation of the TrustSquare platform. It is not presented as a standalone patent claim, because principles of social governance are not patentable subject matter. It is, however, a necessary context for the specific combination of mechanisms claimed in Section 4.2.</w:t>
      </w:r>
    </w:p>
    <w:p>
      <w:r>
        <w:br w:type="page"/>
      </w:r>
    </w:p>
    <w:p>
      <w:pPr>
        <w:pStyle w:val="Heading1"/>
        <w:pBdr>
          <w:bottom w:val="single" w:color="2E75B6" w:sz="6" w:space="4"/>
        </w:pBdr>
        <w:spacing w:after="200" w:before="400"/>
      </w:pPr>
      <w:r>
        <w:rPr>
          <w:rFonts w:ascii="Arial" w:cs="Arial" w:eastAsia="Arial" w:hAnsi="Arial"/>
          <w:b/>
          <w:bCs/>
          <w:color w:val="1B3A6B"/>
          <w:sz w:val="32"/>
          <w:szCs w:val="32"/>
        </w:rPr>
        <w:t xml:space="preserve">4. Novel Innovations &amp; Defensive Patent Claims</w:t>
      </w:r>
    </w:p>
    <w:p>
      <w:pPr>
        <w:spacing w:after="100" w:before="100" w:line="276"/>
      </w:pPr>
      <w:r>
        <w:rPr>
          <w:rFonts w:ascii="Arial" w:cs="Arial" w:eastAsia="Arial" w:hAnsi="Arial"/>
          <w:sz w:val="22"/>
          <w:szCs w:val="22"/>
        </w:rPr>
        <w:t xml:space="preserve">The innovations disclosed in this section are presented as novel technical processes and system architectures, not as abstract business methods. Each claim is framed to describe a specific, technically-implemented mechanism with measurable operational parameters, and where possible with reference to behaviour observable on the live TrustSquare platform at the date of this publication. The claims are drafted to meet patent-eligible subject matter standards under the principal jurisdictions in which TrustSquare operates, including the two-step Alice framework under United States patent law and the technical-character requirement under Article 52 of the European Patent Convention.</w:t>
      </w:r>
    </w:p>
    <w:p>
      <w:r>
        <w:t xml:space="preserve"/>
      </w:r>
    </w:p>
    <w:p>
      <w:pPr>
        <w:spacing w:after="100" w:before="100" w:line="276"/>
      </w:pPr>
      <w:r>
        <w:rPr>
          <w:rFonts w:ascii="Arial" w:cs="Arial" w:eastAsia="Arial" w:hAnsi="Arial"/>
          <w:sz w:val="22"/>
          <w:szCs w:val="22"/>
        </w:rPr>
        <w:t xml:space="preserve">The claims are organised into two categories:</w:t>
      </w:r>
    </w:p>
    <w:p>
      <w:pPr>
        <w:pStyle w:val="ListParagraph"/>
        <w:numPr>
          <w:ilvl w:val="0"/>
          <w:numId w:val="2"/>
        </w:numPr>
        <w:spacing w:after="60" w:before="60"/>
      </w:pPr>
      <w:r>
        <w:rPr>
          <w:rFonts w:ascii="Arial" w:cs="Arial" w:eastAsia="Arial" w:hAnsi="Arial"/>
          <w:sz w:val="22"/>
          <w:szCs w:val="22"/>
        </w:rPr>
        <w:t xml:space="preserve">Independent Claims (Section 4.1) — five standalone mechanisms, each defensible on its own merits and, where applicable, supported by observable live-platform implementation</w:t>
      </w:r>
    </w:p>
    <w:p>
      <w:pPr>
        <w:pStyle w:val="ListParagraph"/>
        <w:numPr>
          <w:ilvl w:val="0"/>
          <w:numId w:val="2"/>
        </w:numPr>
        <w:spacing w:after="60" w:before="60"/>
      </w:pPr>
      <w:r>
        <w:rPr>
          <w:rFonts w:ascii="Arial" w:cs="Arial" w:eastAsia="Arial" w:hAnsi="Arial"/>
          <w:sz w:val="22"/>
          <w:szCs w:val="22"/>
        </w:rPr>
        <w:t xml:space="preserve">Combination Claim (Section 4.2) — the specific integrated system in which the independent mechanisms operate together, supported by the non-claimed foundational architectures described in Section 3. This is the principal defensive instrument of the publication.</w:t>
      </w:r>
    </w:p>
    <w:p>
      <w:r>
        <w:t xml:space="preserve"/>
      </w:r>
    </w:p>
    <w:p>
      <w:pPr>
        <w:spacing w:after="100" w:before="100" w:line="276"/>
      </w:pPr>
      <w:r>
        <w:rPr>
          <w:rFonts w:ascii="Arial" w:cs="Arial" w:eastAsia="Arial" w:hAnsi="Arial"/>
          <w:sz w:val="22"/>
          <w:szCs w:val="22"/>
        </w:rPr>
        <w:t xml:space="preserve">This structure is deliberate. Several architectural elements described in Section 3 — notably the Unified Participation Model, the Common Good Covenant, and the identity-verified trust infrastructure — are not presented as standalone patent claims. These elements describe foundational principles and design decisions that, while central to the TrustSquare system, may not independently satisfy the novelty or non-obviousness thresholds for patentability. However, they are disclosed here as prior art, and they form part of the specific combination claimed in Section 4.2. A hostile party cannot subsequently patent these foundational elements, nor can they claim the specific combination in which they operate with the claimed mechanisms.</w:t>
      </w:r>
    </w:p>
    <w:p>
      <w:r>
        <w:t xml:space="preserve"/>
      </w:r>
    </w:p>
    <w:p>
      <w:pPr>
        <w:pStyle w:val="Heading2"/>
        <w:spacing w:after="150" w:before="300"/>
      </w:pPr>
      <w:r>
        <w:rPr>
          <w:rFonts w:ascii="Arial" w:cs="Arial" w:eastAsia="Arial" w:hAnsi="Arial"/>
          <w:b/>
          <w:bCs/>
          <w:color w:val="2E75B6"/>
          <w:sz w:val="26"/>
          <w:szCs w:val="26"/>
        </w:rPr>
        <w:t xml:space="preserve">4.1  Independent Claims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1</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Atomic Consent-Payment-Introduction Transaction Process</w:t>
            </w:r>
          </w:p>
          <w:p>
            <w:pPr>
              <w:spacing w:before="60"/>
            </w:pPr>
            <w:r>
              <w:rPr>
                <w:rFonts w:ascii="Arial" w:cs="Arial" w:eastAsia="Arial" w:hAnsi="Arial"/>
                <w:sz w:val="20"/>
                <w:szCs w:val="20"/>
              </w:rPr>
              <w:t xml:space="preserve">A computer-implemented transaction process, observable in operation on the TrustSquare platform at the date of this publication, in which four distinct events are executed as a single atomic database transaction: (a) receipt of an introduction request from a first user (the requesting user) referencing a specific anonymised listing identifier belonging to a second user (the listing user); (b) display to the requesting user of an explicit consent interface which (i) identifies the fixed payment amount of US $2.00 (one Tuppence), (ii) states the timing of deduction ('deducted only on seller acceptance' as observable in the live application), and (iii) requires affirmative user action to proceed; (c) upon listing-user acceptance, execution within a single transactional scope of the debit of one Tuppence from the requesting user's Introduction Credit pool, the creation of an introduction record binding the two users, and the release of previously-withheld identity information between the parties; (d) in the event of transaction failure at any stage — including listing-user decline, listing-user non-response beyond the 48-hour response window, or system failure — complete rollback such that no Tuppence is debited and no identity information is disclosed. The process is further characterised by: no charge being levied upon the requesting user during browsing, discovery, or request submission phases; no charge being levied if the listing user declines or fails to respond; and no charge being levied to the listing user except in Commitment Mode re-listing (per Claim 4). This transaction model, combining deferred-charge consent with atomic identity reveal, is observed in operation in the live TrustSquare platform as of the publication 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2</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Marketplace Hygiene Engine — Multi-Trigger Listing Currency Evaluation</w:t>
            </w:r>
          </w:p>
          <w:p>
            <w:pPr>
              <w:spacing w:before="60"/>
            </w:pPr>
            <w:r>
              <w:rPr>
                <w:rFonts w:ascii="Arial" w:cs="Arial" w:eastAsia="Arial" w:hAnsi="Arial"/>
                <w:sz w:val="20"/>
                <w:szCs w:val="20"/>
              </w:rPr>
              <w:t xml:space="preserve">A listing lifecycle management system in which each active listing's currency (its continuing fitness to remain in active discovery) is continuously evaluated by a multi-input function operating against a defined set of hygiene-breach events. The system does not function as a penalty mechanism against listing parties; rather, it functions as a custodial mechanism that maintains the integrity of the marketplace on behalf of all users. The evaluation function receives as inputs: (i) stock-unavailability complaints submitted by inquiring users post-introduction (anti-stale); (ii) false-advertising reports verified against listing content (anti-misrepresentation); (iii) price-adjustment events occurring after listing publication without re-listing (anti-bait-and-switch); (iv) listing-party response-time measurements exceeding a defined threshold (anti-abandonment); and (v) subscription-payment-failure events (commercial-currency integrity). In a disclosed embodiment, each input class is associated with a numeric currency coefficient, and the listing's currency score is computed as a function of these coefficients combined with a time-decay baseline; when currency falls below a defined threshold, the listing is automatically removed from active discovery. In an observed embodiment currently operational in the live TrustSquare platform, listing-party response-time is quantified directly into the universal user Trust Score with explicit numeric adjustments: a positive adjustment of 3 points when the listing party responds within 24 hours of an introduction event, and a negative adjustment of 5 points when the listing party fails to respond within 48 hours. The system specifically excludes subjective quality judgments and applies only to objectively measurable hygiene-breach events, distinguishing it from discretionary moderation systems. The system further operates without differential treatment across subscription tiers, such that a higher-paying listing party is subject to identical hygiene thresholds as a Free tier listing party, in accordance with the Common Good Covenant (Section 3.11).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3</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Category-Selected Dual-Mode Introduction Process</w:t>
            </w:r>
          </w:p>
          <w:p>
            <w:pPr>
              <w:spacing w:before="60"/>
            </w:pPr>
            <w:r>
              <w:rPr>
                <w:rFonts w:ascii="Arial" w:cs="Arial" w:eastAsia="Arial" w:hAnsi="Arial"/>
                <w:sz w:val="20"/>
                <w:szCs w:val="20"/>
              </w:rPr>
              <w:t xml:space="preserve">A computer-implemented introduction routing process in which an introduction request is routed to one of two distinct procedural modes determined by a category classifier associated with the target listing. In the first mode (Commitment Mode, applied to listings classified as high-value exclusive items including real estate and vehicles), the system: (a) places the listing into a paused state upon introduction request; (b) limits concurrent active introductions for the listing to a predetermined maximum (three); and (c) upon decline or failure to respond within the response window, debits one Tuppence from the listing party's Introduction Credit balance as a condition of returning the listing to active discovery. In the second mode (Soft Queue Mode, applied to service and availability-based listings including tutoring, services, adventures and collectibles), the system: (a) maintains the listing in an active discovery state; (b) accepts unlimited concurrent introduction requests; and (c) applies a uniform response window (48 hours) with no re-listing charge. Both modes share the atomic transaction process of Claim 1 but differ in listing state management, concurrency limits, and listing-party financial exposure. The mode selection is observable in operation on the live TrustSquare platform as of the publication date, with the Commitment Model specifically confirmed in-application for Property and Cars categories, and the Soft Queue Model confirmed for Tutors, Services, Adventures, and Collectors categories.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4</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Non-Fungible Dual-Pool Credit System with Shared Denomination</w:t>
            </w:r>
          </w:p>
          <w:p>
            <w:pPr>
              <w:spacing w:before="60"/>
            </w:pPr>
            <w:r>
              <w:rPr>
                <w:rFonts w:ascii="Arial" w:cs="Arial" w:eastAsia="Arial" w:hAnsi="Arial"/>
                <w:sz w:val="20"/>
                <w:szCs w:val="20"/>
              </w:rPr>
              <w:t xml:space="preserve">A user wallet data structure and associated transaction process, observable in operation on the TrustSquare platform at the date of this publication, in which a single user account holds two computationally segregated credit pools that share a common denomination unit (Tuppence) but are non-fungible with respect to each other. The first pool (Introduction Credits) is debitable exclusively by transactions matching the atomic process of Claim 1, at a rate of exactly one unit per introduction. The second pool (AI Guidance Credits) is debitable exclusively by invocations of AI-assisted service functions, at a base exchange rate of eight AI service invocations per one Tuppence-equivalent unit, with bulk purchase options providing progressively enhanced exchange rates (as observable in the live application's top-up menus: 5T for 40 AI uses, 10T for 100 AI uses, and 25T for 320 AI uses, representing ratios of 8, 10, and 12.8 respectively). The pools are represented as distinct database fields with separate balance ledgers and separate transaction histories. No system operation is permitted to transfer balance from one pool to the other. Top-up operations must specify a target pool; the system presents these as independent purchase flows. The wallet interface displays pool balances separately (observable in the live application as "Introductions" and "AI Guidance" with distinct balance indicators). This architecture structurally guarantees that expenditure on AI services cannot deplete introduction-purchasing capacity, preserving transparent cost accounting. The same wallet structure governs all users regardless of their activity type at any given moment (listing, seeking, or both), consistent with the unified account architecture described in Section 3.1.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5</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Identity-Bound Non-Transferable Launch Credential with Architectural Minting Termination</w:t>
            </w:r>
          </w:p>
          <w:p>
            <w:pPr>
              <w:spacing w:before="60"/>
            </w:pPr>
            <w:r>
              <w:rPr>
                <w:rFonts w:ascii="Arial" w:cs="Arial" w:eastAsia="Arial" w:hAnsi="Arial"/>
                <w:sz w:val="20"/>
                <w:szCs w:val="20"/>
              </w:rPr>
              <w:t xml:space="preserve">A computer-implemented credential issuance and management process comprising: (a) a minting function active only during a defined launch window (the launch day), during which the credential may be issued exclusively to users who (i) hold an active premium-tier subscription and (ii) have completed identity verification against a government-issued identification instrument (national ID or passport), with the credential being bound in the database to a cryptographic hash of the unique identification number; (b) a permanent disabling of the minting function at the close of the launch window, implemented such that re-enablement would require a system-level code change rather than an administrative action; (c) a persistent link between the credential and the hashed identity, such that the credential cannot be reassigned, duplicated, transferred, inherited, or re-acquired; (d) a credential-conferred advantage set (including but not limited to an enhanced AI Guidance exchange rate of ten AI service invocations per one Tuppence unit, versus the standard eight) which persists independently of the holder's subscription status and is enforced at each relevant transaction. The combination of identity-binding, architectural minting termination, and subscription-independent advantage persistence constitutes a credential class not previously known in marketplace platform architecture.</w:t>
            </w:r>
          </w:p>
        </w:tc>
      </w:tr>
    </w:tbl>
    <w:p>
      <w:r>
        <w:t xml:space="preserve"/>
      </w:r>
    </w:p>
    <w:p>
      <w:pPr>
        <w:pStyle w:val="Heading2"/>
        <w:spacing w:after="150" w:before="300"/>
      </w:pPr>
      <w:r>
        <w:rPr>
          <w:rFonts w:ascii="Arial" w:cs="Arial" w:eastAsia="Arial" w:hAnsi="Arial"/>
          <w:b/>
          <w:bCs/>
          <w:color w:val="2E75B6"/>
          <w:sz w:val="26"/>
          <w:szCs w:val="26"/>
        </w:rPr>
        <w:t xml:space="preserve">4.2  Combination Claim (Principal Defensive Instrument)</w:t>
      </w:r>
    </w:p>
    <w:p>
      <w:pPr>
        <w:spacing w:after="100" w:before="100" w:line="276"/>
      </w:pPr>
      <w:r>
        <w:rPr>
          <w:rFonts w:ascii="Arial" w:cs="Arial" w:eastAsia="Arial" w:hAnsi="Arial"/>
          <w:sz w:val="22"/>
          <w:szCs w:val="22"/>
        </w:rPr>
        <w:t xml:space="preserve">The following omnibus claim describes the specific integrated system in which the mechanisms of Claims 1 through 5 operate together, supported by the non-claimed architectural descriptions set forth in Section 3 (including the Unified Participation Model, the Common Good Covenant, and the identity-verified trust infrastructure). This is the principal patent-defensive instrument of this publication, as the non-obviousness of the TrustSquare invention resides in the specific combination rather than in any individual mechanism.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CLAIM
6</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r>
              <w:rPr>
                <w:rFonts w:ascii="Arial" w:cs="Arial" w:eastAsia="Arial" w:hAnsi="Arial"/>
                <w:b/>
                <w:bCs/>
                <w:color w:val="1B3A6B"/>
                <w:sz w:val="24"/>
                <w:szCs w:val="24"/>
              </w:rPr>
              <w:t xml:space="preserve">TrustSquare Integrated Marketplace System</w:t>
            </w:r>
          </w:p>
          <w:p>
            <w:pPr>
              <w:spacing w:before="60"/>
            </w:pPr>
            <w:r>
              <w:rPr>
                <w:rFonts w:ascii="Arial" w:cs="Arial" w:eastAsia="Arial" w:hAnsi="Arial"/>
                <w:sz w:val="20"/>
                <w:szCs w:val="20"/>
              </w:rPr>
              <w:t xml:space="preserve">A marketplace platform system operating on a unified user account architecture (as described in Section 3.1), comprising in combination: (a) the atomic consent-payment-introduction transaction process of Claim 1 as the exclusive mechanism by which identity is disclosed between users; (b) the marketplace hygiene engine of Claim 2 operating continuously against every active listing as a custodial (not punitive) mechanism in service of the Common Good Covenant (Section 3.11); (c) the category-selected dual-mode introduction process of Claim 3 determining the behavioural envelope of every introduction request; (d) the non-fungible dual-pool credit system of Claim 4 as the exclusive wallet architecture governing both introduction and AI-guidance transactions for every user regardless of current activity; and (e) where applicable, the identity-bound launch credential of Claim 5 as a permanent modifier to the credit exchange rate of the system for qualifying users. The system is further characterised by a foundational equal-treatment principle, architecturally enforced, under which no subscription tier, credential, or payment may purchase exemption from the hygiene thresholds of Claim 2 or from any other conduct-based consequence. This combination of mechanisms, operating as a single coherent marketplace system in which every user participates simultaneously in both listing and seeking capacities under a unified identity and a universal Trust Score, and in which the platform acts as custodian rather than gatekeeper, is not known in any prior art and constitutes the principal inventive contribution disclosed herein.</w:t>
            </w:r>
          </w:p>
        </w:tc>
      </w:tr>
    </w:tbl>
    <w:p>
      <w:r>
        <w:t xml:space="preserve"/>
      </w:r>
    </w:p>
    <w:p>
      <w:r>
        <w:t xml:space="preserve"/>
      </w:r>
    </w:p>
    <w:p>
      <w:pPr>
        <w:pStyle w:val="Heading2"/>
        <w:spacing w:after="150" w:before="300"/>
      </w:pPr>
      <w:r>
        <w:rPr>
          <w:rFonts w:ascii="Arial" w:cs="Arial" w:eastAsia="Arial" w:hAnsi="Arial"/>
          <w:b/>
          <w:bCs/>
          <w:color w:val="2E75B6"/>
          <w:sz w:val="26"/>
          <w:szCs w:val="26"/>
        </w:rPr>
        <w:t xml:space="preserve">4.3  Patentability Assessment</w:t>
      </w:r>
    </w:p>
    <w:p>
      <w:pPr>
        <w:spacing w:after="100" w:before="100" w:line="276"/>
      </w:pPr>
      <w:r>
        <w:rPr>
          <w:rFonts w:ascii="Arial" w:cs="Arial" w:eastAsia="Arial" w:hAnsi="Arial"/>
          <w:sz w:val="22"/>
          <w:szCs w:val="22"/>
        </w:rPr>
        <w:t xml:space="preserve">Each claim set forth above has been drafted to satisfy the requirements of patentable subject matter under the principal jurisdictions in which TrustSquare intends to operate. Specifically:</w:t>
      </w:r>
    </w:p>
    <w:p>
      <w:r>
        <w:t xml:space="preserve"/>
      </w:r>
    </w:p>
    <w:p>
      <w:pPr>
        <w:pStyle w:val="ListParagraph"/>
        <w:numPr>
          <w:ilvl w:val="0"/>
          <w:numId w:val="2"/>
        </w:numPr>
        <w:spacing w:after="60" w:before="60"/>
      </w:pPr>
      <w:r>
        <w:rPr>
          <w:rFonts w:ascii="Arial" w:cs="Arial" w:eastAsia="Arial" w:hAnsi="Arial"/>
          <w:sz w:val="22"/>
          <w:szCs w:val="22"/>
        </w:rPr>
        <w:t xml:space="preserve">Under United States patent law, each claim recites a specific computer-implemented technical process with concrete operational steps, measurable parameters, and defined data transformations, consistent with the requirements articulated in Alice Corp. v. CLS Bank International and subsequent case law distinguishing patent-eligible technical inventions from abstract business methods. Where possible, claims reference operational behaviour observable on the live TrustSquare platform, providing concrete implementation evidence rather than abstract description.</w:t>
      </w:r>
    </w:p>
    <w:p>
      <w:pPr>
        <w:pStyle w:val="ListParagraph"/>
        <w:numPr>
          <w:ilvl w:val="0"/>
          <w:numId w:val="2"/>
        </w:numPr>
        <w:spacing w:after="60" w:before="60"/>
      </w:pPr>
      <w:r>
        <w:rPr>
          <w:rFonts w:ascii="Arial" w:cs="Arial" w:eastAsia="Arial" w:hAnsi="Arial"/>
          <w:sz w:val="22"/>
          <w:szCs w:val="22"/>
        </w:rPr>
        <w:t xml:space="preserve">Under the European Patent Convention, each claim exhibits the technical character required by Article 52(2)-(3), with each process producing a technical effect beyond mere business administration, including atomic database transactions, multi-input algorithmic evaluation functions, segregated data structures with non-fungibility enforcement, and cryptographically-bound identity credentials.</w:t>
      </w:r>
    </w:p>
    <w:p>
      <w:pPr>
        <w:pStyle w:val="ListParagraph"/>
        <w:numPr>
          <w:ilvl w:val="0"/>
          <w:numId w:val="2"/>
        </w:numPr>
        <w:spacing w:after="60" w:before="60"/>
      </w:pPr>
      <w:r>
        <w:rPr>
          <w:rFonts w:ascii="Arial" w:cs="Arial" w:eastAsia="Arial" w:hAnsi="Arial"/>
          <w:sz w:val="22"/>
          <w:szCs w:val="22"/>
        </w:rPr>
        <w:t xml:space="preserve">Under the South African Patents Act, each claim meets the requirements of novelty, inventive step, and industrial applicability, with the combination claim (Claim 6) establishing inventive step through the specific non-obvious combination of the constituent mechanisms operating within the unified account architecture described in Section 3.</w:t>
      </w:r>
    </w:p>
    <w:p>
      <w:r>
        <w:t xml:space="preserve"/>
      </w:r>
    </w:p>
    <w:p>
      <w:pPr>
        <w:spacing w:after="100" w:before="100" w:line="276"/>
      </w:pPr>
      <w:r>
        <w:rPr>
          <w:rFonts w:ascii="Arial" w:cs="Arial" w:eastAsia="Arial" w:hAnsi="Arial"/>
          <w:sz w:val="22"/>
          <w:szCs w:val="22"/>
        </w:rPr>
        <w:t xml:space="preserve">The claims are further drafted with attention to the doctrine that a combination of known elements may be patentable where the combination itself produces a new and non-obvious result. The TrustSquare system achieves this: no individual mechanism, viewed in isolation, may constitute the full inventive contribution, but the specific coordinated operation of all mechanisms as a single coherent marketplace system, governed by the Common Good Covenant and operating on the Unified Participation Model, is neither taught nor suggested by any known prior art at the date of this publication.</w:t>
      </w:r>
    </w:p>
    <w:p>
      <w:r>
        <w:t xml:space="preserve"/>
      </w:r>
    </w:p>
    <w:p>
      <w:pPr>
        <w:spacing w:after="100" w:before="100" w:line="276"/>
      </w:pPr>
      <w:r>
        <w:rPr>
          <w:rFonts w:ascii="Arial" w:cs="Arial" w:eastAsia="Arial" w:hAnsi="Arial"/>
          <w:i/>
          <w:iCs/>
          <w:sz w:val="22"/>
          <w:szCs w:val="22"/>
        </w:rPr>
        <w:t xml:space="preserve">The foundational architectural elements described in Section 3 (the Unified Participation Model, the Common Good Covenant, the identity-verified trust infrastructure, and the identity-segregated system architecture) are deliberately not claimed as standalone patents. They are instead placed in the public record through this disclosure, both to establish prior art preventing third-party patent capture, and to form an essential context for the combination claim without exposing those individual elements to potentially successful standalone invalidation attack.</w:t>
      </w:r>
    </w:p>
    <w:p>
      <w:r>
        <w:br w:type="page"/>
      </w:r>
    </w:p>
    <w:p>
      <w:pPr>
        <w:pStyle w:val="Heading1"/>
        <w:pBdr>
          <w:bottom w:val="single" w:color="2E75B6" w:sz="6" w:space="4"/>
        </w:pBdr>
        <w:spacing w:after="200" w:before="400"/>
      </w:pPr>
      <w:r>
        <w:rPr>
          <w:rFonts w:ascii="Arial" w:cs="Arial" w:eastAsia="Arial" w:hAnsi="Arial"/>
          <w:b/>
          <w:bCs/>
          <w:color w:val="1B3A6B"/>
          <w:sz w:val="32"/>
          <w:szCs w:val="32"/>
        </w:rPr>
        <w:t xml:space="preserve">5. Subscription &amp; Listing Model</w:t>
      </w:r>
    </w:p>
    <w:p>
      <w:pPr>
        <w:spacing w:after="100" w:before="100" w:line="276"/>
      </w:pPr>
      <w:r>
        <w:rPr>
          <w:rFonts w:ascii="Arial" w:cs="Arial" w:eastAsia="Arial" w:hAnsi="Arial"/>
          <w:sz w:val="22"/>
          <w:szCs w:val="22"/>
        </w:rPr>
        <w:t xml:space="preserve">TrustSquare's subscription tiers govern capacity, not role. Every user — regardless of tier — can both list and seek, spend Tuppence, and earn Trust Score. Tiers expand the user's listing capacity, starter allocations, and geographic visibility. They do not gate access, confer privilege in disputes, or alter the behavioural rules that apply equally to all users.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440"/>
        <w:gridCol w:w="1440"/>
        <w:gridCol w:w="1680"/>
        <w:gridCol w:w="216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Active Listings</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Starter AI Uses</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Starter Tuppence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Listing Visibility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at a time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(one-time)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City / Province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concurrent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(one-time)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(one-time)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$15/mo</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More (one-time)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More (one-time)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Adventure (all tiers)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tier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tier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(all tiers)</w:t>
            </w:r>
          </w:p>
        </w:tc>
      </w:tr>
    </w:tbl>
    <w:p>
      <w:r>
        <w:t xml:space="preserve"/>
      </w:r>
    </w:p>
    <w:p>
      <w:pPr>
        <w:pStyle w:val="Heading2"/>
        <w:spacing w:after="150" w:before="300"/>
      </w:pPr>
      <w:r>
        <w:rPr>
          <w:rFonts w:ascii="Arial" w:cs="Arial" w:eastAsia="Arial" w:hAnsi="Arial"/>
          <w:b/>
          <w:bCs/>
          <w:color w:val="2E75B6"/>
          <w:sz w:val="26"/>
          <w:szCs w:val="26"/>
        </w:rPr>
        <w:t xml:space="preserve">5.1  Starter Allocations</w:t>
      </w:r>
    </w:p>
    <w:p>
      <w:pPr>
        <w:spacing w:after="100" w:before="100" w:line="276"/>
      </w:pPr>
      <w:r>
        <w:rPr>
          <w:rFonts w:ascii="Arial" w:cs="Arial" w:eastAsia="Arial" w:hAnsi="Arial"/>
          <w:sz w:val="22"/>
          <w:szCs w:val="22"/>
        </w:rPr>
        <w:t xml:space="preserve">Each tier includes a one-time starter allocation of AI Guidance uses and Tuppence granted at account creation or at the moment of subscription upgrade. These allocations are not monthly — they are a single welcome grant designed to let the user experience the platform's core value before topping up. Subsequent top-ups for AI Guidance and Tuppence are independent and on-demand, keeping the recurring subscription cost honest and transparent.</w:t>
      </w:r>
    </w:p>
    <w:p>
      <w:r>
        <w:t xml:space="preserve"/>
      </w:r>
    </w:p>
    <w:p>
      <w:pPr>
        <w:pStyle w:val="Heading2"/>
        <w:spacing w:after="150" w:before="300"/>
      </w:pPr>
      <w:r>
        <w:rPr>
          <w:rFonts w:ascii="Arial" w:cs="Arial" w:eastAsia="Arial" w:hAnsi="Arial"/>
          <w:b/>
          <w:bCs/>
          <w:color w:val="2E75B6"/>
          <w:sz w:val="26"/>
          <w:szCs w:val="26"/>
        </w:rPr>
        <w:t xml:space="preserve">5.2  The Free Tier as Entry Point, Not a Trap</w:t>
      </w:r>
    </w:p>
    <w:p>
      <w:pPr>
        <w:spacing w:after="100" w:before="100" w:line="276"/>
      </w:pPr>
      <w:r>
        <w:rPr>
          <w:rFonts w:ascii="Arial" w:cs="Arial" w:eastAsia="Arial" w:hAnsi="Arial"/>
          <w:sz w:val="22"/>
          <w:szCs w:val="22"/>
        </w:rPr>
        <w:t xml:space="preserve">The Free tier allows any user to list one product or service at a time, with one AI Guidance use and a small starter Tuppence allocation. This is deliberate: every person should be able to experience the full TrustSquare cycle — browse, list, be introduced, complete a transaction — without any payment. The one-listing limit is not a restriction imposed to extract payment; it is a capacity designed to be sufficient for an individual's first genuine use case.</w:t>
      </w:r>
    </w:p>
    <w:p>
      <w:r>
        <w:t xml:space="preserve"/>
      </w:r>
    </w:p>
    <w:p>
      <w:pPr>
        <w:spacing w:after="100" w:before="100" w:line="276"/>
      </w:pPr>
      <w:r>
        <w:rPr>
          <w:rFonts w:ascii="Arial" w:cs="Arial" w:eastAsia="Arial" w:hAnsi="Arial"/>
          <w:sz w:val="22"/>
          <w:szCs w:val="22"/>
        </w:rPr>
        <w:t xml:space="preserve">When a Free tier user wishes to list a second item, they face a simple binary choice: remove their existing listing to free the slot, or upgrade to Standard for five concurrent slots at $5 per month. By the time this choice arises, the user has already experienced the platform's core value through their first listing. Upgrade becomes a natural next step driven by the user's own desire to participate more, not by pressure from the platform.</w:t>
      </w:r>
    </w:p>
    <w:p>
      <w:r>
        <w:t xml:space="preserve"/>
      </w:r>
    </w:p>
    <w:p>
      <w:pPr>
        <w:pStyle w:val="Heading2"/>
        <w:spacing w:after="150" w:before="300"/>
      </w:pPr>
      <w:r>
        <w:rPr>
          <w:rFonts w:ascii="Arial" w:cs="Arial" w:eastAsia="Arial" w:hAnsi="Arial"/>
          <w:b/>
          <w:bCs/>
          <w:color w:val="2E75B6"/>
          <w:sz w:val="26"/>
          <w:szCs w:val="26"/>
        </w:rPr>
        <w:t xml:space="preserve">5.3  Marketplace Hygiene Events</w:t>
      </w:r>
    </w:p>
    <w:p>
      <w:pPr>
        <w:spacing w:after="100" w:before="100" w:line="276"/>
      </w:pPr>
      <w:r>
        <w:rPr>
          <w:rFonts w:ascii="Arial" w:cs="Arial" w:eastAsia="Arial" w:hAnsi="Arial"/>
          <w:sz w:val="22"/>
          <w:szCs w:val="22"/>
        </w:rPr>
        <w:t xml:space="preserve">The following events, when verified, cause the TrustSquare platform to remove a listing from active discovery. These are not penalties imposed on listing parties; they are custodial actions taken on behalf of all users, in accordance with the Common Good Covenant (Section 3.11), to ensure that what users discover reflects what is actually available, accurately described, and honestly offered:</w:t>
      </w:r>
    </w:p>
    <w:p>
      <w:pPr>
        <w:pStyle w:val="ListParagraph"/>
        <w:numPr>
          <w:ilvl w:val="0"/>
          <w:numId w:val="2"/>
        </w:numPr>
        <w:spacing w:after="60" w:before="60"/>
      </w:pPr>
      <w:r>
        <w:rPr>
          <w:rFonts w:ascii="Arial" w:cs="Arial" w:eastAsia="Arial" w:hAnsi="Arial"/>
          <w:sz w:val="22"/>
          <w:szCs w:val="22"/>
        </w:rPr>
        <w:t xml:space="preserve">Stock unavailability — verified complaint that a listed item is no longer available (anti-stale)</w:t>
      </w:r>
    </w:p>
    <w:p>
      <w:pPr>
        <w:pStyle w:val="ListParagraph"/>
        <w:numPr>
          <w:ilvl w:val="0"/>
          <w:numId w:val="2"/>
        </w:numPr>
        <w:spacing w:after="60" w:before="60"/>
      </w:pPr>
      <w:r>
        <w:rPr>
          <w:rFonts w:ascii="Arial" w:cs="Arial" w:eastAsia="Arial" w:hAnsi="Arial"/>
          <w:sz w:val="22"/>
          <w:szCs w:val="22"/>
        </w:rPr>
        <w:t xml:space="preserve">Material misrepresentation — listing description verified as materially inaccurate (anti-misrepresentation)</w:t>
      </w:r>
    </w:p>
    <w:p>
      <w:pPr>
        <w:pStyle w:val="ListParagraph"/>
        <w:numPr>
          <w:ilvl w:val="0"/>
          <w:numId w:val="2"/>
        </w:numPr>
        <w:spacing w:after="60" w:before="60"/>
      </w:pPr>
      <w:r>
        <w:rPr>
          <w:rFonts w:ascii="Arial" w:cs="Arial" w:eastAsia="Arial" w:hAnsi="Arial"/>
          <w:sz w:val="22"/>
          <w:szCs w:val="22"/>
        </w:rPr>
        <w:t xml:space="preserve">Post-listing price manipulation — listed price raised after publication without re-listing (anti-bait-and-switch)</w:t>
      </w:r>
    </w:p>
    <w:p>
      <w:pPr>
        <w:pStyle w:val="ListParagraph"/>
        <w:numPr>
          <w:ilvl w:val="0"/>
          <w:numId w:val="2"/>
        </w:numPr>
        <w:spacing w:after="60" w:before="60"/>
      </w:pPr>
      <w:r>
        <w:rPr>
          <w:rFonts w:ascii="Arial" w:cs="Arial" w:eastAsia="Arial" w:hAnsi="Arial"/>
          <w:sz w:val="22"/>
          <w:szCs w:val="22"/>
        </w:rPr>
        <w:t xml:space="preserve">Response abandonment — listing party fails to respond to introductions within the 48-hour response window (anti-abandonment)</w:t>
      </w:r>
    </w:p>
    <w:p>
      <w:pPr>
        <w:pStyle w:val="ListParagraph"/>
        <w:numPr>
          <w:ilvl w:val="0"/>
          <w:numId w:val="2"/>
        </w:numPr>
        <w:spacing w:after="60" w:before="60"/>
      </w:pPr>
      <w:r>
        <w:rPr>
          <w:rFonts w:ascii="Arial" w:cs="Arial" w:eastAsia="Arial" w:hAnsi="Arial"/>
          <w:sz w:val="22"/>
          <w:szCs w:val="22"/>
        </w:rPr>
        <w:t xml:space="preserve">Subscription lapse — subscription payment failure for paid-tier listings (commercial-currency integrity)</w:t>
      </w:r>
    </w:p>
    <w:p>
      <w:r>
        <w:t xml:space="preserve"/>
      </w:r>
    </w:p>
    <w:p>
      <w:pPr>
        <w:spacing w:after="100" w:before="100" w:line="276"/>
      </w:pPr>
      <w:r>
        <w:rPr>
          <w:rFonts w:ascii="Arial" w:cs="Arial" w:eastAsia="Arial" w:hAnsi="Arial"/>
          <w:sz w:val="22"/>
          <w:szCs w:val="22"/>
        </w:rPr>
        <w:t xml:space="preserve">These events apply equally across all tiers. A $15 International subscriber is subject to identical hygiene thresholds as a Free tier user. No subscription level confers exemption from the marketplace hygiene system, in accordance with the equal-treatment principle of the Common Good Covenant.</w:t>
      </w:r>
    </w:p>
    <w:p>
      <w:r>
        <w:t xml:space="preserve"/>
      </w:r>
    </w:p>
    <w:p>
      <w:pPr>
        <w:spacing w:after="100" w:before="100" w:line="276"/>
      </w:pPr>
      <w:r>
        <w:rPr>
          <w:rFonts w:ascii="Arial" w:cs="Arial" w:eastAsia="Arial" w:hAnsi="Arial"/>
          <w:sz w:val="22"/>
          <w:szCs w:val="22"/>
        </w:rPr>
        <w:t xml:space="preserve">Free tier listings additionally follow a time-based currency decay: listings are active for a defined period and may be renewed at the listing party's initiative. This ensures the Free tier marketplace remains populated with genuinely current offerings rather than abandoned listings accumulating indefinitely. Paid tiers extend the default listing duration but do not exempt listings from any of the hygiene events enumerated above.</w:t>
      </w:r>
    </w:p>
    <w:p>
      <w:r>
        <w:t xml:space="preserve"/>
      </w:r>
    </w:p>
    <w:p>
      <w:pPr>
        <w:spacing w:after="100" w:before="100" w:line="276"/>
      </w:pPr>
      <w:r>
        <w:rPr>
          <w:rFonts w:ascii="Arial" w:cs="Arial" w:eastAsia="Arial" w:hAnsi="Arial"/>
          <w:sz w:val="22"/>
          <w:szCs w:val="22"/>
        </w:rPr>
        <w:t xml:space="preserve">Listing-party response-time conduct additionally flows into the user's Trust Score: in the currently operational embodiment observable on the live TrustSquare platform, response within 24 hours of an introduction event adjusts Trust Score by +3, and non-response beyond 48 hours adjusts Trust Score by −5. These Trust Score adjustments are separate from listing hygiene removal events; they accumulate over the user's lifetime on the platform and inform every future user's evaluation of that party's reliability.</w:t>
      </w:r>
    </w:p>
    <w:p>
      <w:r>
        <w:t xml:space="preserve"/>
      </w:r>
    </w:p>
    <w:p>
      <w:pPr>
        <w:pStyle w:val="Heading1"/>
        <w:pBdr>
          <w:bottom w:val="single" w:color="2E75B6" w:sz="6" w:space="4"/>
        </w:pBdr>
        <w:spacing w:after="200" w:before="400"/>
      </w:pPr>
      <w:r>
        <w:rPr>
          <w:rFonts w:ascii="Arial" w:cs="Arial" w:eastAsia="Arial" w:hAnsi="Arial"/>
          <w:b/>
          <w:bCs/>
          <w:color w:val="1B3A6B"/>
          <w:sz w:val="32"/>
          <w:szCs w:val="32"/>
        </w:rPr>
        <w:t xml:space="preserve">6. Revenue Model</w:t>
      </w:r>
    </w:p>
    <w:p>
      <w:pPr>
        <w:pStyle w:val="Heading2"/>
        <w:spacing w:after="150" w:before="300"/>
      </w:pPr>
      <w:r>
        <w:rPr>
          <w:rFonts w:ascii="Arial" w:cs="Arial" w:eastAsia="Arial" w:hAnsi="Arial"/>
          <w:b/>
          <w:bCs/>
          <w:color w:val="2E75B6"/>
          <w:sz w:val="26"/>
          <w:szCs w:val="26"/>
        </w:rPr>
        <w:t xml:space="preserve">6.1  Introduction Revenue</w:t>
      </w:r>
    </w:p>
    <w:p>
      <w:pPr>
        <w:spacing w:after="100" w:before="100" w:line="276"/>
      </w:pPr>
      <w:r>
        <w:rPr>
          <w:rFonts w:ascii="Arial" w:cs="Arial" w:eastAsia="Arial" w:hAnsi="Arial"/>
          <w:sz w:val="22"/>
          <w:szCs w:val="22"/>
        </w:rPr>
        <w:t xml:space="preserve">A fixed Tuppence of US $2.00 is charged to any user who initiates an introduction to any listing on the platform. The amount is non-negotiable, non-variable, and not subject to influence by the listing party. This consistency ensures user trust in the cost of exploration across all categories and all geographies.</w:t>
      </w:r>
    </w:p>
    <w:p>
      <w:r>
        <w:t xml:space="preserve"/>
      </w:r>
    </w:p>
    <w:p>
      <w:pPr>
        <w:pStyle w:val="Heading2"/>
        <w:spacing w:after="150" w:before="300"/>
      </w:pPr>
      <w:r>
        <w:rPr>
          <w:rFonts w:ascii="Arial" w:cs="Arial" w:eastAsia="Arial" w:hAnsi="Arial"/>
          <w:b/>
          <w:bCs/>
          <w:color w:val="2E75B6"/>
          <w:sz w:val="26"/>
          <w:szCs w:val="26"/>
        </w:rPr>
        <w:t xml:space="preserve">6.2  Subscription Revenue</w:t>
      </w:r>
    </w:p>
    <w:p>
      <w:pPr>
        <w:spacing w:after="100" w:before="100" w:line="276"/>
      </w:pPr>
      <w:r>
        <w:rPr>
          <w:rFonts w:ascii="Arial" w:cs="Arial" w:eastAsia="Arial" w:hAnsi="Arial"/>
          <w:sz w:val="22"/>
          <w:szCs w:val="22"/>
        </w:rPr>
        <w:t xml:space="preserve">Subscription tiers generate recurring monthly revenue at $0 (Free), $5 (Standard), and $15 (International) per month. Tier upgrades are driven by the user's own desire to list more, reach further geographically, or access larger starter allocations. No tier confers privilege or exemption — each is purely a capacity expansion.</w:t>
      </w:r>
    </w:p>
    <w:p>
      <w:r>
        <w:t xml:space="preserve"/>
      </w:r>
    </w:p>
    <w:p>
      <w:pPr>
        <w:pStyle w:val="Heading2"/>
        <w:spacing w:after="150" w:before="300"/>
      </w:pPr>
      <w:r>
        <w:rPr>
          <w:rFonts w:ascii="Arial" w:cs="Arial" w:eastAsia="Arial" w:hAnsi="Arial"/>
          <w:b/>
          <w:bCs/>
          <w:color w:val="2E75B6"/>
          <w:sz w:val="26"/>
          <w:szCs w:val="26"/>
        </w:rPr>
        <w:t xml:space="preserve">6.3  Supplementary Revenue — Commitment Model Resubmission</w:t>
      </w:r>
    </w:p>
    <w:p>
      <w:pPr>
        <w:spacing w:after="100" w:before="100" w:line="276"/>
      </w:pPr>
      <w:r>
        <w:rPr>
          <w:rFonts w:ascii="Arial" w:cs="Arial" w:eastAsia="Arial" w:hAnsi="Arial"/>
          <w:sz w:val="22"/>
          <w:szCs w:val="22"/>
        </w:rPr>
        <w:t xml:space="preserve">In the Commitment Model (Property and Cars categories), if a listing party declines or fails to respond to an introduction, a single Tuppence is charged to return the listing to active discovery. This is not a penalty but an accountability mechanism: it incentivises prompt engagement with serious inquirers and discourages listing parties from ignoring requests.</w:t>
      </w:r>
    </w:p>
    <w:p>
      <w:r>
        <w:t xml:space="preserve"/>
      </w:r>
    </w:p>
    <w:p>
      <w:pPr>
        <w:pStyle w:val="Heading2"/>
        <w:spacing w:after="150" w:before="300"/>
      </w:pPr>
      <w:r>
        <w:rPr>
          <w:rFonts w:ascii="Arial" w:cs="Arial" w:eastAsia="Arial" w:hAnsi="Arial"/>
          <w:b/>
          <w:bCs/>
          <w:color w:val="2E75B6"/>
          <w:sz w:val="26"/>
          <w:szCs w:val="26"/>
        </w:rPr>
        <w:t xml:space="preserve">6.4  AI Guide Service (Segregated Currency)</w:t>
      </w:r>
    </w:p>
    <w:p>
      <w:pPr>
        <w:spacing w:after="100" w:before="100" w:line="276"/>
      </w:pPr>
      <w:r>
        <w:rPr>
          <w:rFonts w:ascii="Arial" w:cs="Arial" w:eastAsia="Arial" w:hAnsi="Arial"/>
          <w:sz w:val="22"/>
          <w:szCs w:val="22"/>
        </w:rPr>
        <w:t xml:space="preserve">TrustSquare offers an optional AI Guide service to all users, funded from a dedicated AI Guidance credit pool held separately from the user's Introduction Tuppence. The AI Guide assists with listing optimisation, search refinement, negotiation coaching, and marketplace navigation. At the standard rate, one Tuppence unit purchases eight AI Guidance sessions, with bulk packages offering bonus sessions. The separation of pools ensures AI usage never reduces a user's ability to secure introductions, and vice versa. This is a service layer and does not involve the platform holding or processing third-party funds.</w:t>
      </w:r>
    </w:p>
    <w:p>
      <w:r>
        <w:t xml:space="preserve"/>
      </w:r>
    </w:p>
    <w:p>
      <w:pPr>
        <w:pStyle w:val="Heading1"/>
        <w:pBdr>
          <w:bottom w:val="single" w:color="2E75B6" w:sz="6" w:space="4"/>
        </w:pBdr>
        <w:spacing w:after="200" w:before="400"/>
      </w:pPr>
      <w:r>
        <w:rPr>
          <w:rFonts w:ascii="Arial" w:cs="Arial" w:eastAsia="Arial" w:hAnsi="Arial"/>
          <w:b/>
          <w:bCs/>
          <w:color w:val="1B3A6B"/>
          <w:sz w:val="32"/>
          <w:szCs w:val="32"/>
        </w:rPr>
        <w:t xml:space="preserve">7. Technical Architecture Overview</w:t>
      </w:r>
    </w:p>
    <w:p>
      <w:pPr>
        <w:pStyle w:val="Heading2"/>
        <w:spacing w:after="150" w:before="300"/>
      </w:pPr>
      <w:r>
        <w:rPr>
          <w:rFonts w:ascii="Arial" w:cs="Arial" w:eastAsia="Arial" w:hAnsi="Arial"/>
          <w:b/>
          <w:bCs/>
          <w:color w:val="2E75B6"/>
          <w:sz w:val="26"/>
          <w:szCs w:val="26"/>
        </w:rPr>
        <w:t xml:space="preserve">7.1  Frontend Agent (FEA)</w:t>
      </w:r>
    </w:p>
    <w:p>
      <w:pPr>
        <w:spacing w:after="100" w:before="100" w:line="276"/>
      </w:pPr>
      <w:r>
        <w:rPr>
          <w:rFonts w:ascii="Arial" w:cs="Arial" w:eastAsia="Arial" w:hAnsi="Arial"/>
          <w:sz w:val="22"/>
          <w:szCs w:val="22"/>
        </w:rPr>
        <w:t xml:space="preserve">The FEA is a pure Human Machine Interface layer. It presents listings, captures user inputs, displays trust scores, and initiates introduction requests. The FEA holds no financial logic, no identity resolution capability, and no access to the BEA's internal state beyond what is explicitly surfaced for display.</w:t>
      </w:r>
    </w:p>
    <w:p>
      <w:r>
        <w:t xml:space="preserve"/>
      </w:r>
    </w:p>
    <w:p>
      <w:pPr>
        <w:pStyle w:val="Heading2"/>
        <w:spacing w:after="150" w:before="300"/>
      </w:pPr>
      <w:r>
        <w:rPr>
          <w:rFonts w:ascii="Arial" w:cs="Arial" w:eastAsia="Arial" w:hAnsi="Arial"/>
          <w:b/>
          <w:bCs/>
          <w:color w:val="2E75B6"/>
          <w:sz w:val="26"/>
          <w:szCs w:val="26"/>
        </w:rPr>
        <w:t xml:space="preserve">7.2  Backend Economy Agent (BEA)</w:t>
      </w:r>
    </w:p>
    <w:p>
      <w:pPr>
        <w:spacing w:after="100" w:before="100" w:line="276"/>
      </w:pPr>
      <w:r>
        <w:rPr>
          <w:rFonts w:ascii="Arial" w:cs="Arial" w:eastAsia="Arial" w:hAnsi="Arial"/>
          <w:sz w:val="22"/>
          <w:szCs w:val="22"/>
        </w:rPr>
        <w:t xml:space="preserve">The BEA is the sole locus of commercial and security logic. It manages:</w:t>
      </w:r>
    </w:p>
    <w:p>
      <w:pPr>
        <w:pStyle w:val="ListParagraph"/>
        <w:numPr>
          <w:ilvl w:val="0"/>
          <w:numId w:val="2"/>
        </w:numPr>
        <w:spacing w:after="60" w:before="60"/>
      </w:pPr>
      <w:r>
        <w:rPr>
          <w:rFonts w:ascii="Arial" w:cs="Arial" w:eastAsia="Arial" w:hAnsi="Arial"/>
          <w:sz w:val="22"/>
          <w:szCs w:val="22"/>
        </w:rPr>
        <w:t xml:space="preserve">Trust Score calculation and enforcement</w:t>
      </w:r>
    </w:p>
    <w:p>
      <w:pPr>
        <w:pStyle w:val="ListParagraph"/>
        <w:numPr>
          <w:ilvl w:val="0"/>
          <w:numId w:val="2"/>
        </w:numPr>
        <w:spacing w:after="60" w:before="60"/>
      </w:pPr>
      <w:r>
        <w:rPr>
          <w:rFonts w:ascii="Arial" w:cs="Arial" w:eastAsia="Arial" w:hAnsi="Arial"/>
          <w:sz w:val="22"/>
          <w:szCs w:val="22"/>
        </w:rPr>
        <w:t xml:space="preserve">Tuppence deduction and introduction event processing</w:t>
      </w:r>
    </w:p>
    <w:p>
      <w:pPr>
        <w:pStyle w:val="ListParagraph"/>
        <w:numPr>
          <w:ilvl w:val="0"/>
          <w:numId w:val="2"/>
        </w:numPr>
        <w:spacing w:after="60" w:before="60"/>
      </w:pPr>
      <w:r>
        <w:rPr>
          <w:rFonts w:ascii="Arial" w:cs="Arial" w:eastAsia="Arial" w:hAnsi="Arial"/>
          <w:sz w:val="22"/>
          <w:szCs w:val="22"/>
        </w:rPr>
        <w:t xml:space="preserve">Fade-out trigger evaluation and listing state management</w:t>
      </w:r>
    </w:p>
    <w:p>
      <w:pPr>
        <w:pStyle w:val="ListParagraph"/>
        <w:numPr>
          <w:ilvl w:val="0"/>
          <w:numId w:val="2"/>
        </w:numPr>
        <w:spacing w:after="60" w:before="60"/>
      </w:pPr>
      <w:r>
        <w:rPr>
          <w:rFonts w:ascii="Arial" w:cs="Arial" w:eastAsia="Arial" w:hAnsi="Arial"/>
          <w:sz w:val="22"/>
          <w:szCs w:val="22"/>
        </w:rPr>
        <w:t xml:space="preserve">Subscription tier validation and boundary enforcement</w:t>
      </w:r>
    </w:p>
    <w:p>
      <w:pPr>
        <w:pStyle w:val="ListParagraph"/>
        <w:numPr>
          <w:ilvl w:val="0"/>
          <w:numId w:val="2"/>
        </w:numPr>
        <w:spacing w:after="60" w:before="60"/>
      </w:pPr>
      <w:r>
        <w:rPr>
          <w:rFonts w:ascii="Arial" w:cs="Arial" w:eastAsia="Arial" w:hAnsi="Arial"/>
          <w:sz w:val="22"/>
          <w:szCs w:val="22"/>
        </w:rPr>
        <w:t xml:space="preserve">User identity management and reveal logic across all capacities (listing and seeking)</w:t>
      </w:r>
    </w:p>
    <w:p>
      <w:pPr>
        <w:pStyle w:val="ListParagraph"/>
        <w:numPr>
          <w:ilvl w:val="0"/>
          <w:numId w:val="2"/>
        </w:numPr>
        <w:spacing w:after="60" w:before="60"/>
      </w:pPr>
      <w:r>
        <w:rPr>
          <w:rFonts w:ascii="Arial" w:cs="Arial" w:eastAsia="Arial" w:hAnsi="Arial"/>
          <w:sz w:val="22"/>
          <w:szCs w:val="22"/>
        </w:rPr>
        <w:t xml:space="preserve">Fraud detection and complaint processing</w:t>
      </w:r>
    </w:p>
    <w:p>
      <w:r>
        <w:t xml:space="preserve"/>
      </w:r>
    </w:p>
    <w:p>
      <w:pPr>
        <w:pStyle w:val="Heading2"/>
        <w:spacing w:after="150" w:before="300"/>
      </w:pPr>
      <w:r>
        <w:rPr>
          <w:rFonts w:ascii="Arial" w:cs="Arial" w:eastAsia="Arial" w:hAnsi="Arial"/>
          <w:b/>
          <w:bCs/>
          <w:color w:val="2E75B6"/>
          <w:sz w:val="26"/>
          <w:szCs w:val="26"/>
        </w:rPr>
        <w:t xml:space="preserve">7.3  Security Architecture Principle</w:t>
      </w:r>
    </w:p>
    <w:p>
      <w:pPr>
        <w:spacing w:after="100" w:before="100" w:line="276"/>
      </w:pPr>
      <w:r>
        <w:rPr>
          <w:rFonts w:ascii="Arial" w:cs="Arial" w:eastAsia="Arial" w:hAnsi="Arial"/>
          <w:sz w:val="22"/>
          <w:szCs w:val="22"/>
        </w:rPr>
        <w:t xml:space="preserve">The strict separation of FEA and BEA means that compromising the frontend yields no access to financial logic, user identities, or commercial data. All sensitive operations are encapsulated entirely within the BEA, which is not exposed directly to end users.</w:t>
      </w:r>
    </w:p>
    <w:p>
      <w:r>
        <w:br w:type="page"/>
      </w:r>
    </w:p>
    <w:p>
      <w:pPr>
        <w:pStyle w:val="Heading1"/>
        <w:pBdr>
          <w:bottom w:val="single" w:color="2E75B6" w:sz="6" w:space="4"/>
        </w:pBdr>
        <w:spacing w:after="200" w:before="400"/>
      </w:pPr>
      <w:r>
        <w:rPr>
          <w:rFonts w:ascii="Arial" w:cs="Arial" w:eastAsia="Arial" w:hAnsi="Arial"/>
          <w:b/>
          <w:bCs/>
          <w:color w:val="1B3A6B"/>
          <w:sz w:val="32"/>
          <w:szCs w:val="32"/>
        </w:rPr>
        <w:t xml:space="preserve">8. Market Opportunity</w:t>
      </w:r>
    </w:p>
    <w:p>
      <w:pPr>
        <w:spacing w:after="100" w:before="100" w:line="276"/>
      </w:pPr>
      <w:r>
        <w:rPr>
          <w:rFonts w:ascii="Arial" w:cs="Arial" w:eastAsia="Arial" w:hAnsi="Arial"/>
          <w:sz w:val="22"/>
          <w:szCs w:val="22"/>
        </w:rPr>
        <w:t xml:space="preserve">TrustSquare addresses the global online marketplace sector across multiple categories: property, vehicles, tutoring, services, collectibles, and adventure experiences. The platform's differentiation — zero advertising cost for listing parties, fixed-fee introductions for inquiring parties, unified role architecture, and mutual trust vetting — positions it distinctly against incumbent platforms.</w:t>
      </w:r>
    </w:p>
    <w:p>
      <w:r>
        <w:t xml:space="preserve"/>
      </w:r>
    </w:p>
    <w:p>
      <w:pPr>
        <w:spacing w:after="100" w:before="100" w:line="276"/>
      </w:pPr>
      <w:r>
        <w:rPr>
          <w:rFonts w:ascii="Arial" w:cs="Arial" w:eastAsia="Arial" w:hAnsi="Arial"/>
          <w:sz w:val="22"/>
          <w:szCs w:val="22"/>
        </w:rPr>
        <w:t xml:space="preserve">Beyond direct competition with existing marketplaces, TrustSquare addresses a market no existing platform has successfully activated: the reservoir of latent supply in users' homes and lives — unused cars, collectibles, tools, skills, capacity, property — that conventional listing friction has kept dormant. The Unified Participation Model is specifically designed to activate this supply through browsing-triggered listing impulse, converting passive discovery into active participation.</w:t>
      </w:r>
    </w:p>
    <w:p>
      <w:r>
        <w:t xml:space="preserve"/>
      </w:r>
    </w:p>
    <w:p>
      <w:pPr>
        <w:spacing w:after="100" w:before="100" w:line="276"/>
      </w:pPr>
      <w:r>
        <w:rPr>
          <w:rFonts w:ascii="Arial" w:cs="Arial" w:eastAsia="Arial" w:hAnsi="Arial"/>
          <w:sz w:val="22"/>
          <w:szCs w:val="22"/>
        </w:rPr>
        <w:t xml:space="preserve">The Adventure category (Experiences and Accommodation) additionally enables cross-border discovery of unique local offerings through the same frictionless Tuppence introduction mechanism. A traveller in the United Kingdom can discover and be introduced to a shark cage diving operator in Cape Town, South Africa, for a single Tuppence — with all commercial activity between them conducted directly, outside the platform.</w:t>
      </w:r>
    </w:p>
    <w:p>
      <w:r>
        <w:t xml:space="preserve"/>
      </w:r>
    </w:p>
    <w:p>
      <w:pPr>
        <w:spacing w:after="100" w:before="100" w:line="276"/>
      </w:pPr>
      <w:r>
        <w:rPr>
          <w:rFonts w:ascii="Arial" w:cs="Arial" w:eastAsia="Arial" w:hAnsi="Arial"/>
          <w:sz w:val="22"/>
          <w:szCs w:val="22"/>
        </w:rPr>
        <w:t xml:space="preserve">The platform's global launch strategy, combined with this defensive publication, establishes TrustSquare's position as the originator of the specific combination of mechanisms disclosed herein.</w:t>
      </w:r>
    </w:p>
    <w:p>
      <w:r>
        <w:br w:type="page"/>
      </w:r>
    </w:p>
    <w:p>
      <w:pPr>
        <w:pStyle w:val="Heading1"/>
        <w:pBdr>
          <w:bottom w:val="single" w:color="2E75B6" w:sz="6" w:space="4"/>
        </w:pBdr>
        <w:spacing w:after="200" w:before="400"/>
      </w:pPr>
      <w:r>
        <w:rPr>
          <w:rFonts w:ascii="Arial" w:cs="Arial" w:eastAsia="Arial" w:hAnsi="Arial"/>
          <w:b/>
          <w:bCs/>
          <w:color w:val="1B3A6B"/>
          <w:sz w:val="32"/>
          <w:szCs w:val="32"/>
        </w:rPr>
        <w:t xml:space="preserve">9. The Founders Badge Launch Programme</w:t>
      </w:r>
    </w:p>
    <w:p>
      <w:pPr>
        <w:spacing w:after="100" w:before="100" w:line="276"/>
      </w:pPr>
      <w:r>
        <w:rPr>
          <w:rFonts w:ascii="Arial" w:cs="Arial" w:eastAsia="Arial" w:hAnsi="Arial"/>
          <w:sz w:val="22"/>
          <w:szCs w:val="22"/>
        </w:rPr>
        <w:t xml:space="preserve">The Founders Badge is a launch-day-only, identity-bound, non-transferable credential available exclusively to subscribers who commit to the $15 International tier on the platform's designated launch day. The badge cannot be acquired after the launch window closes — not at any price, not through any promotion, not for the entire operational lifetime of the platform.</w:t>
      </w:r>
    </w:p>
    <w:p>
      <w:r>
        <w:t xml:space="preserve"/>
      </w:r>
    </w:p>
    <w:p>
      <w:pPr>
        <w:pStyle w:val="Heading2"/>
        <w:spacing w:after="150" w:before="300"/>
      </w:pPr>
      <w:r>
        <w:rPr>
          <w:rFonts w:ascii="Arial" w:cs="Arial" w:eastAsia="Arial" w:hAnsi="Arial"/>
          <w:b/>
          <w:bCs/>
          <w:color w:val="2E75B6"/>
          <w:sz w:val="26"/>
          <w:szCs w:val="26"/>
        </w:rPr>
        <w:t xml:space="preserve">9.1  Strategic Purpose</w:t>
      </w:r>
    </w:p>
    <w:p>
      <w:pPr>
        <w:spacing w:after="100" w:before="100" w:line="276"/>
      </w:pPr>
      <w:r>
        <w:rPr>
          <w:rFonts w:ascii="Arial" w:cs="Arial" w:eastAsia="Arial" w:hAnsi="Arial"/>
          <w:sz w:val="22"/>
          <w:szCs w:val="22"/>
        </w:rPr>
        <w:t xml:space="preserve">The Founders Badge is not primarily a reward mechanism. It is the economic ignition mechanism of the launch itself — the single feature designed to convert launch-day interest into launch-day subscription revenue at scale.</w:t>
      </w:r>
    </w:p>
    <w:p>
      <w:r>
        <w:t xml:space="preserve"/>
      </w:r>
    </w:p>
    <w:p>
      <w:pPr>
        <w:spacing w:after="100" w:before="100" w:line="276"/>
      </w:pPr>
      <w:r>
        <w:rPr>
          <w:rFonts w:ascii="Arial" w:cs="Arial" w:eastAsia="Arial" w:hAnsi="Arial"/>
          <w:sz w:val="22"/>
          <w:szCs w:val="22"/>
        </w:rPr>
        <w:t xml:space="preserve">Every marketplace subscription platform faces the same launch problem: interest without conversion. Users download, browse, create free accounts, and promise themselves they will upgrade "later." Most never do. The Founders Badge is architecturally designed to eliminate this deferral behaviour on day one by transforming the subscription decision from a routine pricing choice into a once-in-a-lifetime opportunity that is genuinely, architecturally, and permanently time-locked.</w:t>
      </w:r>
    </w:p>
    <w:p>
      <w:r>
        <w:t xml:space="preserve"/>
      </w:r>
    </w:p>
    <w:p>
      <w:pPr>
        <w:pStyle w:val="Heading2"/>
        <w:spacing w:after="150" w:before="300"/>
      </w:pPr>
      <w:r>
        <w:rPr>
          <w:rFonts w:ascii="Arial" w:cs="Arial" w:eastAsia="Arial" w:hAnsi="Arial"/>
          <w:b/>
          <w:bCs/>
          <w:color w:val="2E75B6"/>
          <w:sz w:val="26"/>
          <w:szCs w:val="26"/>
        </w:rPr>
        <w:t xml:space="preserve">9.2  Launch Channel Amplification</w:t>
      </w:r>
    </w:p>
    <w:p>
      <w:pPr>
        <w:spacing w:after="100" w:before="100" w:line="276"/>
      </w:pPr>
      <w:r>
        <w:rPr>
          <w:rFonts w:ascii="Arial" w:cs="Arial" w:eastAsia="Arial" w:hAnsi="Arial"/>
          <w:sz w:val="22"/>
          <w:szCs w:val="22"/>
        </w:rPr>
        <w:t xml:space="preserve">The badge is designed to amplify and concentrate the impact of three parallel launch initiatives:</w:t>
      </w:r>
    </w:p>
    <w:p>
      <w:pPr>
        <w:pStyle w:val="ListParagraph"/>
        <w:numPr>
          <w:ilvl w:val="0"/>
          <w:numId w:val="2"/>
        </w:numPr>
        <w:spacing w:after="60" w:before="60"/>
      </w:pPr>
      <w:r>
        <w:rPr>
          <w:rFonts w:ascii="Arial" w:cs="Arial" w:eastAsia="Arial" w:hAnsi="Arial"/>
          <w:sz w:val="22"/>
          <w:szCs w:val="22"/>
        </w:rPr>
        <w:t xml:space="preserve">Email launch campaign — every message carries a single, unambiguous call to action anchored in genuine scarcity: claim the badge today or never</w:t>
      </w:r>
    </w:p>
    <w:p>
      <w:pPr>
        <w:pStyle w:val="ListParagraph"/>
        <w:numPr>
          <w:ilvl w:val="0"/>
          <w:numId w:val="2"/>
        </w:numPr>
        <w:spacing w:after="60" w:before="60"/>
      </w:pPr>
      <w:r>
        <w:rPr>
          <w:rFonts w:ascii="Arial" w:cs="Arial" w:eastAsia="Arial" w:hAnsi="Arial"/>
          <w:sz w:val="22"/>
          <w:szCs w:val="22"/>
        </w:rPr>
        <w:t xml:space="preserve">City-by-city rollout — each city's activation day doubles as its local Founders Day, creating synchronised urgency waves across geographies</w:t>
      </w:r>
    </w:p>
    <w:p>
      <w:pPr>
        <w:pStyle w:val="ListParagraph"/>
        <w:numPr>
          <w:ilvl w:val="0"/>
          <w:numId w:val="2"/>
        </w:numPr>
        <w:spacing w:after="60" w:before="60"/>
      </w:pPr>
      <w:r>
        <w:rPr>
          <w:rFonts w:ascii="Arial" w:cs="Arial" w:eastAsia="Arial" w:hAnsi="Arial"/>
          <w:sz w:val="22"/>
          <w:szCs w:val="22"/>
        </w:rPr>
        <w:t xml:space="preserve">Organic product appeal — the application itself sells the marketplace, while the badge closes the subscription at the moment of decision</w:t>
      </w:r>
    </w:p>
    <w:p>
      <w:r>
        <w:t xml:space="preserve"/>
      </w:r>
    </w:p>
    <w:p>
      <w:pPr>
        <w:spacing w:after="100" w:before="100" w:line="276"/>
      </w:pPr>
      <w:r>
        <w:rPr>
          <w:rFonts w:ascii="Arial" w:cs="Arial" w:eastAsia="Arial" w:hAnsi="Arial"/>
          <w:sz w:val="22"/>
          <w:szCs w:val="22"/>
        </w:rPr>
        <w:t xml:space="preserve">The effect is compounding: each channel independently drives users toward a single time-locked decision point on a single day, rather than the diffuse, delayed conversion curve typical of subscription product launches.</w:t>
      </w:r>
    </w:p>
    <w:p>
      <w:r>
        <w:t xml:space="preserve"/>
      </w:r>
    </w:p>
    <w:p>
      <w:pPr>
        <w:pStyle w:val="Heading2"/>
        <w:spacing w:after="150" w:before="300"/>
      </w:pPr>
      <w:r>
        <w:rPr>
          <w:rFonts w:ascii="Arial" w:cs="Arial" w:eastAsia="Arial" w:hAnsi="Arial"/>
          <w:b/>
          <w:bCs/>
          <w:color w:val="2E75B6"/>
          <w:sz w:val="26"/>
          <w:szCs w:val="26"/>
        </w:rPr>
        <w:t xml:space="preserve">9.3  Architectural Integrity of Scarcity</w:t>
      </w:r>
    </w:p>
    <w:p>
      <w:pPr>
        <w:spacing w:after="100" w:before="100" w:line="276"/>
      </w:pPr>
      <w:r>
        <w:rPr>
          <w:rFonts w:ascii="Arial" w:cs="Arial" w:eastAsia="Arial" w:hAnsi="Arial"/>
          <w:sz w:val="22"/>
          <w:szCs w:val="22"/>
        </w:rPr>
        <w:t xml:space="preserve">The scarcity of the Founders Badge is not a marketing claim — it is structurally enforced by the platform's architecture:</w:t>
      </w:r>
    </w:p>
    <w:p>
      <w:pPr>
        <w:pStyle w:val="ListParagraph"/>
        <w:numPr>
          <w:ilvl w:val="0"/>
          <w:numId w:val="2"/>
        </w:numPr>
        <w:spacing w:after="60" w:before="60"/>
      </w:pPr>
      <w:r>
        <w:rPr>
          <w:rFonts w:ascii="Arial" w:cs="Arial" w:eastAsia="Arial" w:hAnsi="Arial"/>
          <w:sz w:val="22"/>
          <w:szCs w:val="22"/>
        </w:rPr>
        <w:t xml:space="preserve">ID/Passport binding means one human being can hold, at most, one badge</w:t>
      </w:r>
    </w:p>
    <w:p>
      <w:pPr>
        <w:pStyle w:val="ListParagraph"/>
        <w:numPr>
          <w:ilvl w:val="0"/>
          <w:numId w:val="2"/>
        </w:numPr>
        <w:spacing w:after="60" w:before="60"/>
      </w:pPr>
      <w:r>
        <w:rPr>
          <w:rFonts w:ascii="Arial" w:cs="Arial" w:eastAsia="Arial" w:hAnsi="Arial"/>
          <w:sz w:val="22"/>
          <w:szCs w:val="22"/>
        </w:rPr>
        <w:t xml:space="preserve">Non-transferability prevents any secondary market from forming</w:t>
      </w:r>
    </w:p>
    <w:p>
      <w:pPr>
        <w:pStyle w:val="ListParagraph"/>
        <w:numPr>
          <w:ilvl w:val="0"/>
          <w:numId w:val="2"/>
        </w:numPr>
        <w:spacing w:after="60" w:before="60"/>
      </w:pPr>
      <w:r>
        <w:rPr>
          <w:rFonts w:ascii="Arial" w:cs="Arial" w:eastAsia="Arial" w:hAnsi="Arial"/>
          <w:sz w:val="22"/>
          <w:szCs w:val="22"/>
        </w:rPr>
        <w:t xml:space="preserve">Permanent lifetime closure of the minting window means no exception, promotion, or future re-launch can produce another badge</w:t>
      </w:r>
    </w:p>
    <w:p>
      <w:pPr>
        <w:pStyle w:val="ListParagraph"/>
        <w:numPr>
          <w:ilvl w:val="0"/>
          <w:numId w:val="2"/>
        </w:numPr>
        <w:spacing w:after="60" w:before="60"/>
      </w:pPr>
      <w:r>
        <w:rPr>
          <w:rFonts w:ascii="Arial" w:cs="Arial" w:eastAsia="Arial" w:hAnsi="Arial"/>
          <w:sz w:val="22"/>
          <w:szCs w:val="22"/>
        </w:rPr>
        <w:t xml:space="preserve">No administrative override exists — the minting code is disabled at close of launch day and cannot be re-enabled</w:t>
      </w:r>
    </w:p>
    <w:p>
      <w:r>
        <w:t xml:space="preserve"/>
      </w:r>
    </w:p>
    <w:p>
      <w:pPr>
        <w:spacing w:after="100" w:before="100" w:line="276"/>
      </w:pPr>
      <w:r>
        <w:rPr>
          <w:rFonts w:ascii="Arial" w:cs="Arial" w:eastAsia="Arial" w:hAnsi="Arial"/>
          <w:sz w:val="22"/>
          <w:szCs w:val="22"/>
        </w:rPr>
        <w:t xml:space="preserve">This architectural enforcement is what distinguishes the Founders Badge from conventional "limited time" marketing offers. Users are not being asked to trust a countdown timer; they are being offered a genuine historical artefact of the platform's founding moment.</w:t>
      </w:r>
    </w:p>
    <w:p>
      <w:r>
        <w:t xml:space="preserve"/>
      </w:r>
    </w:p>
    <w:p>
      <w:pPr>
        <w:pStyle w:val="Heading2"/>
        <w:spacing w:after="150" w:before="300"/>
      </w:pPr>
      <w:r>
        <w:rPr>
          <w:rFonts w:ascii="Arial" w:cs="Arial" w:eastAsia="Arial" w:hAnsi="Arial"/>
          <w:b/>
          <w:bCs/>
          <w:color w:val="2E75B6"/>
          <w:sz w:val="26"/>
          <w:szCs w:val="26"/>
        </w:rPr>
        <w:t xml:space="preserve">9.4  Badge Advantages</w:t>
      </w:r>
    </w:p>
    <w:p>
      <w:pPr>
        <w:spacing w:after="100" w:before="100" w:line="276"/>
      </w:pPr>
      <w:r>
        <w:rPr>
          <w:rFonts w:ascii="Arial" w:cs="Arial" w:eastAsia="Arial" w:hAnsi="Arial"/>
          <w:sz w:val="22"/>
          <w:szCs w:val="22"/>
        </w:rPr>
        <w:t xml:space="preserve">Founders Badge holders receive permanent, non-transferable advantages that persist independently of their subscription status. Should a badge holder later downgrade to a Free or Standard tier, the badge and all of its advantages remain intact, because the badge is bound to the person, not the subscription.</w:t>
      </w:r>
    </w:p>
    <w:p>
      <w:r>
        <w:t xml:space="preserve"/>
      </w:r>
    </w:p>
    <w:p>
      <w:pPr>
        <w:spacing w:after="100" w:before="100" w:line="276"/>
      </w:pPr>
      <w:r>
        <w:rPr>
          <w:rFonts w:ascii="Arial" w:cs="Arial" w:eastAsia="Arial" w:hAnsi="Arial"/>
          <w:sz w:val="22"/>
          <w:szCs w:val="22"/>
        </w:rPr>
        <w:t xml:space="preserve">Disclosed advantage at publication:</w:t>
      </w:r>
    </w:p>
    <w:p>
      <w:pPr>
        <w:pStyle w:val="ListParagraph"/>
        <w:numPr>
          <w:ilvl w:val="0"/>
          <w:numId w:val="2"/>
        </w:numPr>
        <w:spacing w:after="60" w:before="60"/>
      </w:pPr>
      <w:r>
        <w:rPr>
          <w:rFonts w:ascii="Arial" w:cs="Arial" w:eastAsia="Arial" w:hAnsi="Arial"/>
          <w:sz w:val="22"/>
          <w:szCs w:val="22"/>
        </w:rPr>
        <w:t xml:space="preserve">AI Guidance exchange rate — badge holders receive an enhanced exchange rate of ten AI Guidance uses per Tuppence, versus the standard rate of eight. This represents a permanent 25% uplift on AI Guidance value for the badge holder's lifetime on the platform.</w:t>
      </w:r>
    </w:p>
    <w:p>
      <w:r>
        <w:t xml:space="preserve"/>
      </w:r>
    </w:p>
    <w:p>
      <w:pPr>
        <w:spacing w:after="100" w:before="100" w:line="276"/>
      </w:pPr>
      <w:r>
        <w:rPr>
          <w:rFonts w:ascii="Arial" w:cs="Arial" w:eastAsia="Arial" w:hAnsi="Arial"/>
          <w:sz w:val="22"/>
          <w:szCs w:val="22"/>
        </w:rPr>
        <w:t xml:space="preserve">All Founders Badge advantages are constrained by the same Common Good Covenant that governs the platform as a whole: the badge confers expanded capability and historical recognition, never exemption from the marketplace hygiene system, Trust Score mechanics, or any other conduct-based consequence. A badge holder whose listing is materially misrepresented receives the same hygiene removal as any other user.</w:t>
      </w:r>
    </w:p>
    <w:p>
      <w:r>
        <w:t xml:space="preserve"/>
      </w:r>
    </w:p>
    <w:p>
      <w:pPr>
        <w:pStyle w:val="Heading2"/>
        <w:spacing w:after="150" w:before="300"/>
      </w:pPr>
      <w:r>
        <w:rPr>
          <w:rFonts w:ascii="Arial" w:cs="Arial" w:eastAsia="Arial" w:hAnsi="Arial"/>
          <w:b/>
          <w:bCs/>
          <w:color w:val="2E75B6"/>
          <w:sz w:val="26"/>
          <w:szCs w:val="26"/>
        </w:rPr>
        <w:t xml:space="preserve">9.5  Economic Model</w:t>
      </w:r>
    </w:p>
    <w:p>
      <w:pPr>
        <w:spacing w:after="100" w:before="100" w:line="276"/>
      </w:pPr>
      <w:r>
        <w:rPr>
          <w:rFonts w:ascii="Arial" w:cs="Arial" w:eastAsia="Arial" w:hAnsi="Arial"/>
          <w:sz w:val="22"/>
          <w:szCs w:val="22"/>
        </w:rPr>
        <w:t xml:space="preserve">The Founders Badge advantages have been specifically scoped to operate on service categories where the marginal cost of honouring them is low relative to the programme's commercial objective. The AI Guidance bonus operates on a service layer where incremental usage cost is small, ensuring that the lifetime cost of honouring the badge across all qualifying holders is sustainable indefinitely.</w:t>
      </w:r>
    </w:p>
    <w:p>
      <w:r>
        <w:t xml:space="preserve"/>
      </w:r>
    </w:p>
    <w:p>
      <w:pPr>
        <w:spacing w:after="100" w:before="100" w:line="276"/>
      </w:pPr>
      <w:r>
        <w:rPr>
          <w:rFonts w:ascii="Arial" w:cs="Arial" w:eastAsia="Arial" w:hAnsi="Arial"/>
          <w:sz w:val="22"/>
          <w:szCs w:val="22"/>
        </w:rPr>
        <w:t xml:space="preserve">The programme's commercial purpose is to concentrate launch-day subscription activity into a single, architecturally-enforced time-locked decision point. The badge is not positioned as a revenue-maximising mechanism; it is positioned as a conversion ignition mechanism. Any subsequent programme advantages will be scoped to preserve the same economic sustainability and the same alignment with the Common Good Covenant.</w:t>
      </w:r>
    </w:p>
    <w:p>
      <w:r>
        <w:t xml:space="preserve"/>
      </w:r>
    </w:p>
    <w:p>
      <w:pPr>
        <w:pStyle w:val="Heading1"/>
        <w:pBdr>
          <w:bottom w:val="single" w:color="2E75B6" w:sz="6" w:space="4"/>
        </w:pBdr>
        <w:spacing w:after="200" w:before="400"/>
      </w:pPr>
      <w:r>
        <w:rPr>
          <w:rFonts w:ascii="Arial" w:cs="Arial" w:eastAsia="Arial" w:hAnsi="Arial"/>
          <w:b/>
          <w:bCs/>
          <w:color w:val="1B3A6B"/>
          <w:sz w:val="32"/>
          <w:szCs w:val="32"/>
        </w:rPr>
        <w:t xml:space="preserve">10. Legal Notice &amp; Prior Art Declaration</w:t>
      </w:r>
    </w:p>
    <w:p>
      <w:pPr>
        <w:pBdr>
          <w:top w:val="single" w:color="C9A84C" w:sz="4" w:space="4"/>
          <w:bottom w:val="single" w:color="C9A84C" w:sz="4" w:space="4"/>
          <w:left w:val="single" w:color="C9A84C" w:sz="4" w:space="4"/>
          <w:right w:val="single" w:color="C9A84C" w:sz="4" w:space="4"/>
        </w:pBdr>
        <w:shd w:fill="FFF8E1" w:val="clear"/>
        <w:spacing w:after="160" w:before="160"/>
        <w:ind w:left="200" w:right="200"/>
      </w:pPr>
      <w:r>
        <w:rPr>
          <w:rFonts w:ascii="Arial" w:cs="Arial" w:eastAsia="Arial" w:hAnsi="Arial"/>
          <w:i/>
          <w:iCs/>
          <w:sz w:val="20"/>
          <w:szCs w:val="20"/>
        </w:rPr>
        <w:t xml:space="preserve">This document constitutes a formal defensive publication. All innovations, mechanisms, and system architectures described herein are hereby placed in the public domain as prior art, effective from the publication timestamp of this document. No third party may obtain patent protection for any concept disclosed herein subsequent to this publication date. TrustSquare reserves all rights to commercialise the innovations described herein and intends to file provisional patent applications within 12 months of this publication date, referencing this document as the priority date basis.</w:t>
      </w:r>
    </w:p>
    <w:p>
      <w:r>
        <w:t xml:space="preserve"/>
      </w:r>
    </w:p>
    <w:p>
      <w:pPr>
        <w:spacing w:after="100" w:before="100" w:line="276"/>
      </w:pPr>
      <w:r>
        <w:rPr>
          <w:rFonts w:ascii="Arial" w:cs="Arial" w:eastAsia="Arial" w:hAnsi="Arial"/>
          <w:b/>
          <w:bCs/>
          <w:sz w:val="22"/>
          <w:szCs w:val="22"/>
        </w:rPr>
        <w:t xml:space="preserve">Publication Date: April 21, 2026</w:t>
      </w:r>
    </w:p>
    <w:p>
      <w:pPr>
        <w:spacing w:after="100" w:before="100" w:line="276"/>
      </w:pPr>
      <w:r>
        <w:rPr>
          <w:rFonts w:ascii="Arial" w:cs="Arial" w:eastAsia="Arial" w:hAnsi="Arial"/>
          <w:sz w:val="22"/>
          <w:szCs w:val="22"/>
        </w:rPr>
        <w:t xml:space="preserve">Platform: TrustSquare | trustsquare.co</w:t>
      </w:r>
    </w:p>
    <w:p>
      <w:pPr>
        <w:spacing w:after="100" w:before="100" w:line="276"/>
      </w:pPr>
      <w:r>
        <w:rPr>
          <w:rFonts w:ascii="Arial" w:cs="Arial" w:eastAsia="Arial" w:hAnsi="Arial"/>
          <w:sz w:val="22"/>
          <w:szCs w:val="22"/>
        </w:rPr>
        <w:t xml:space="preserve">Document Status: Public Defensive Disclosure</w:t>
      </w:r>
    </w:p>
    <w:p>
      <w:pPr>
        <w:spacing w:after="100" w:before="100" w:line="276"/>
      </w:pPr>
      <w:r>
        <w:rPr>
          <w:rFonts w:ascii="Arial" w:cs="Arial" w:eastAsia="Arial" w:hAnsi="Arial"/>
          <w:sz w:val="22"/>
          <w:szCs w:val="22"/>
        </w:rPr>
        <w:t xml:space="preserve">All rights reserved — TrustSquare — except as noted above regarding prior art dedication.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Published: April 21, 2026  |  trustsquare.co</w:t>
    </w:r>
    <w:r>
      <w:rPr>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88888"/>
        <w:sz w:val="18"/>
        <w:szCs w:val="18"/>
      </w:rPr>
      <w:t xml:space="preserve">TrustSquare White Paper  |  Defensive Publication</w:t>
    </w:r>
    <w:r>
      <w:rPr>
        <w:sz w:val="18"/>
        <w:szCs w:val="18"/>
      </w:rPr>
      <w:t xml:space="preserve">	</w:t>
    </w:r>
    <w:r>
      <w:rPr>
        <w:rFonts w:ascii="Arial" w:cs="Arial" w:eastAsia="Arial" w:hAnsi="Arial"/>
        <w:i/>
        <w:iCs/>
        <w:color w:val="888888"/>
        <w:sz w:val="18"/>
        <w:szCs w:val="18"/>
      </w:rPr>
      <w:t xml:space="preserve">CONFIDENTIAL — Prior Art Timestamp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2026-04-21T08:23:49.823Z</dcterms:created>
  <dcterms:modified xsi:type="dcterms:W3CDTF">2026-04-21T08:23:49.823Z</dcterms:modified>
</cp:coreProperties>
</file>

<file path=docProps/custom.xml><?xml version="1.0" encoding="utf-8"?>
<Properties xmlns="http://schemas.openxmlformats.org/officeDocument/2006/custom-properties" xmlns:vt="http://schemas.openxmlformats.org/officeDocument/2006/docPropsVTypes"/>
</file>