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E3A5F"/>
          <w:sz w:val="64"/>
          <w:szCs w:val="64"/>
        </w:rPr>
        <w:t xml:space="preserve">TrustSquare</w:t>
      </w:r>
    </w:p>
    <w:p>
      <w:pPr>
        <w:spacing w:after="40" w:before="0"/>
      </w:pPr>
      <w:r>
        <w:rPr>
          <w:rFonts w:ascii="Arial" w:cs="Arial" w:eastAsia="Arial" w:hAnsi="Arial"/>
          <w:color w:val="888888"/>
          <w:sz w:val="22"/>
          <w:szCs w:val="22"/>
        </w:rPr>
        <w:t xml:space="preserve">Trustsquare (Pty) Ltd  ·  Reg 2026/340128/07</w:t>
      </w:r>
    </w:p>
    <w:p>
      <w:pPr>
        <w:spacing w:after="320" w:before="0"/>
      </w:pPr>
      <w:r>
        <w:rPr>
          <w:rFonts w:ascii="Arial" w:cs="Arial" w:eastAsia="Arial" w:hAnsi="Arial"/>
          <w:color w:val="888888"/>
          <w:sz w:val="22"/>
          <w:szCs w:val="22"/>
        </w:rPr>
        <w:t xml:space="preserve">Director: David Maurice Conradie</w:t>
      </w:r>
    </w:p>
    <w:p>
      <w:pPr>
        <w:spacing w:after="80" w:before="0"/>
      </w:pPr>
      <w:r>
        <w:rPr>
          <w:rFonts w:ascii="Arial" w:cs="Arial" w:eastAsia="Arial" w:hAnsi="Arial"/>
          <w:b/>
          <w:bCs/>
          <w:color w:val="2D6A9F"/>
          <w:sz w:val="36"/>
          <w:szCs w:val="36"/>
        </w:rPr>
        <w:t xml:space="preserve">IP Brief v2 — Patent Claim Language</w:t>
      </w:r>
    </w:p>
    <w:p>
      <w:pPr>
        <w:spacing w:after="40" w:before="0"/>
      </w:pPr>
      <w:r>
        <w:rPr>
          <w:rFonts w:ascii="Arial" w:cs="Arial" w:eastAsia="Arial" w:hAnsi="Arial"/>
          <w:i/>
          <w:iCs/>
          <w:color w:val="555555"/>
          <w:sz w:val="22"/>
          <w:szCs w:val="22"/>
        </w:rPr>
        <w:t xml:space="preserve">For review by patent counsel — South African and PCT provisional filing</w:t>
      </w:r>
    </w:p>
    <w:p>
      <w:pPr>
        <w:spacing w:after="400" w:before="0"/>
      </w:pPr>
      <w:r>
        <w:rPr>
          <w:rFonts w:ascii="Arial" w:cs="Arial" w:eastAsia="Arial" w:hAnsi="Arial"/>
          <w:color w:val="888888"/>
          <w:sz w:val="22"/>
          <w:szCs w:val="22"/>
        </w:rPr>
        <w:t xml:space="preserve">May 2026  ·  Version 2  ·  Confidential</w:t>
      </w:r>
    </w:p>
    <w:p>
      <w:pPr>
        <w:pBdr>
          <w:left w:val="single" w:color="E63946" w:sz="8" w:space="8"/>
        </w:pBdr>
        <w:spacing w:after="80" w:before="80"/>
        <w:ind w:left="360"/>
      </w:pPr>
      <w:r>
        <w:rPr>
          <w:rFonts w:ascii="Arial" w:cs="Arial" w:eastAsia="Arial" w:hAnsi="Arial"/>
          <w:i/>
          <w:iCs/>
          <w:color w:val="555555"/>
          <w:sz w:val="20"/>
          <w:szCs w:val="20"/>
        </w:rPr>
        <w:t xml:space="preserve">This document contains attorney-client privileged material prepared in anticipation of patent filing. Do not distribute beyond counsel and the named director.</w:t>
      </w:r>
    </w:p>
    <w:p>
      <w:pPr>
        <w:spacing w:after="0" w:before="400"/>
      </w:pPr>
      <w:r>
        <w:t xml:space="preserve"/>
      </w:r>
    </w:p>
    <w:p>
      <w:pPr>
        <w:pStyle w:val="Heading1"/>
        <w:spacing w:after="160" w:before="320"/>
      </w:pPr>
      <w:r>
        <w:rPr>
          <w:rFonts w:ascii="Arial" w:cs="Arial" w:eastAsia="Arial" w:hAnsi="Arial"/>
          <w:b/>
          <w:bCs/>
          <w:color w:val="1E3A5F"/>
          <w:sz w:val="32"/>
          <w:szCs w:val="32"/>
        </w:rPr>
        <w:t xml:space="preserve">1. Platform Overview</w:t>
      </w:r>
    </w:p>
    <w:p>
      <w:pPr>
        <w:spacing w:after="80" w:before="80"/>
      </w:pPr>
      <w:r>
        <w:rPr>
          <w:rFonts w:ascii="Arial" w:cs="Arial" w:eastAsia="Arial" w:hAnsi="Arial"/>
          <w:sz w:val="22"/>
          <w:szCs w:val="22"/>
        </w:rPr>
        <w:t xml:space="preserve">TrustSquare is a mobile-first anonymous marketplace platform connecting buyers with verified anonymous sellers through a non-refundable introduction currency called Tuppence. The platform operates exclusively as an introduction intermediary — it does not conclude transactions, hold client funds beyond the Tuppence introduction currency, provide financial advice, or act as a financial intermediary under FAIS or any other regulatory framework.</w:t>
      </w:r>
    </w:p>
    <w:p>
      <w:pPr>
        <w:spacing w:after="0" w:before="60"/>
      </w:pPr>
      <w:r>
        <w:t xml:space="preserve"/>
      </w:r>
    </w:p>
    <w:p>
      <w:pPr>
        <w:spacing w:after="80" w:before="80"/>
      </w:pPr>
      <w:r>
        <w:rPr>
          <w:rFonts w:ascii="Arial" w:cs="Arial" w:eastAsia="Arial" w:hAnsi="Arial"/>
          <w:sz w:val="22"/>
          <w:szCs w:val="22"/>
        </w:rPr>
        <w:t xml:space="preserve">The platform is live at trustsquare.co and is registered as Trustsquare (Pty) Ltd, Reg 2026/340128/07, South Africa.</w:t>
      </w:r>
    </w:p>
    <w:p>
      <w:pPr>
        <w:spacing w:after="0" w:before="160"/>
      </w:pPr>
      <w:r>
        <w:t xml:space="preserve"/>
      </w:r>
    </w:p>
    <w:p>
      <w:pPr>
        <w:pStyle w:val="Heading1"/>
        <w:spacing w:after="160" w:before="320"/>
      </w:pPr>
      <w:r>
        <w:rPr>
          <w:rFonts w:ascii="Arial" w:cs="Arial" w:eastAsia="Arial" w:hAnsi="Arial"/>
          <w:b/>
          <w:bCs/>
          <w:color w:val="1E3A5F"/>
          <w:sz w:val="32"/>
          <w:szCs w:val="32"/>
        </w:rPr>
        <w:t xml:space="preserve">2. Core Claim — Commitment-Gated Anonymous Introduction</w:t>
      </w:r>
    </w:p>
    <w:p>
      <w:pPr>
        <w:pStyle w:val="Heading2"/>
        <w:spacing w:after="120" w:before="240"/>
      </w:pPr>
      <w:r>
        <w:rPr>
          <w:rFonts w:ascii="Arial" w:cs="Arial" w:eastAsia="Arial" w:hAnsi="Arial"/>
          <w:b/>
          <w:bCs/>
          <w:color w:val="2D6A9F"/>
          <w:sz w:val="26"/>
          <w:szCs w:val="26"/>
        </w:rPr>
        <w:t xml:space="preserve">2.1 Background</w:t>
      </w:r>
    </w:p>
    <w:p>
      <w:pPr>
        <w:spacing w:after="80" w:before="80"/>
      </w:pPr>
      <w:r>
        <w:rPr>
          <w:rFonts w:ascii="Arial" w:cs="Arial" w:eastAsia="Arial" w:hAnsi="Arial"/>
          <w:sz w:val="22"/>
          <w:szCs w:val="22"/>
        </w:rPr>
        <w:t xml:space="preserve">Existing marketplace platforms disclose seller identity and contact details either freely or upon registration. None employ a mechanism that requires a buyer to make an irreversible commitment signal — surrendering a non-refundable unit of value — before any identifying information about the seller is disclosed. The result is a high volume of low-quality, uncommitted inquiries that burden sellers and degrade the marketplace experience.</w:t>
      </w:r>
    </w:p>
    <w:p>
      <w:pPr>
        <w:spacing w:after="0" w:before="80"/>
      </w:pPr>
      <w:r>
        <w:t xml:space="preserve"/>
      </w:r>
    </w:p>
    <w:p>
      <w:pPr>
        <w:pStyle w:val="Heading2"/>
        <w:spacing w:after="120" w:before="240"/>
      </w:pPr>
      <w:r>
        <w:rPr>
          <w:rFonts w:ascii="Arial" w:cs="Arial" w:eastAsia="Arial" w:hAnsi="Arial"/>
          <w:b/>
          <w:bCs/>
          <w:color w:val="2D6A9F"/>
          <w:sz w:val="26"/>
          <w:szCs w:val="26"/>
        </w:rPr>
        <w:t xml:space="preserve">2.2 Claim Language</w:t>
      </w:r>
    </w:p>
    <w:p>
      <w:pPr>
        <w:spacing w:after="80" w:before="80"/>
      </w:pPr>
      <w:r>
        <w:rPr>
          <w:rFonts w:ascii="Arial" w:cs="Arial" w:eastAsia="Arial" w:hAnsi="Arial"/>
          <w:sz w:val="22"/>
          <w:szCs w:val="22"/>
        </w:rPr>
        <w:t xml:space="preserve">A method for facilitating anonymous commercial introductions between buyers and sellers on a digital marketplace platform, comprising:</w:t>
      </w:r>
    </w:p>
    <w:p>
      <w:pPr>
        <w:spacing w:after="0" w:before="80"/>
      </w:pPr>
      <w:r>
        <w:t xml:space="preserve"/>
      </w:r>
    </w:p>
    <w:p>
      <w:pPr>
        <w:pStyle w:val="ListParagraph"/>
        <w:numPr>
          <w:ilvl w:val="0"/>
          <w:numId w:val="2"/>
        </w:numPr>
        <w:spacing w:after="100" w:before="100"/>
      </w:pPr>
      <w:r>
        <w:rPr>
          <w:rFonts w:ascii="Arial" w:cs="Arial" w:eastAsia="Arial" w:hAnsi="Arial"/>
          <w:sz w:val="22"/>
          <w:szCs w:val="22"/>
        </w:rPr>
        <w:t xml:space="preserve">Seller anonymity preservation: A seller registration and listing system wherein the seller's identity, contact details, and location are withheld from all buyers at all times prior to a mutually accepted introduction. The platform assigns a verified Trust Score to each seller based on credentials, completed introductions, response rate, and buyer ratings. The Trust Score is displayed to buyers in lieu of identifying information.</w:t>
      </w:r>
    </w:p>
    <w:p>
      <w:pPr>
        <w:pStyle w:val="ListParagraph"/>
        <w:numPr>
          <w:ilvl w:val="0"/>
          <w:numId w:val="2"/>
        </w:numPr>
        <w:spacing w:after="100" w:before="100"/>
      </w:pPr>
      <w:r>
        <w:rPr>
          <w:rFonts w:ascii="Arial" w:cs="Arial" w:eastAsia="Arial" w:hAnsi="Arial"/>
          <w:sz w:val="22"/>
          <w:szCs w:val="22"/>
        </w:rPr>
        <w:t xml:space="preserve">Non-refundable introduction currency: A platform-native currency unit (Tuppence) which buyers acquire through a payment mechanism and which is consumed, without refund or recovery under any circumstances, at the moment a buyer initiates an introduction request to a seller. The non-refundability is structurally enforced — it is not a policy choice but an architectural property of the currency system. This irreversibility constitutes a commitment signal that is visible to the seller prior to accepting or declining the introduction.</w:t>
      </w:r>
    </w:p>
    <w:p>
      <w:pPr>
        <w:pStyle w:val="ListParagraph"/>
        <w:numPr>
          <w:ilvl w:val="0"/>
          <w:numId w:val="2"/>
        </w:numPr>
        <w:spacing w:after="100" w:before="100"/>
      </w:pPr>
      <w:r>
        <w:rPr>
          <w:rFonts w:ascii="Arial" w:cs="Arial" w:eastAsia="Arial" w:hAnsi="Arial"/>
          <w:sz w:val="22"/>
          <w:szCs w:val="22"/>
        </w:rPr>
        <w:t xml:space="preserve">Commitment-gated identity disclosure: The seller's identifying information is disclosed to the buyer only upon the seller's affirmative acceptance of the introduction request. Neither party's identity is disclosed to the other prior to mutual agreement.</w:t>
      </w:r>
    </w:p>
    <w:p>
      <w:pPr>
        <w:pStyle w:val="ListParagraph"/>
        <w:numPr>
          <w:ilvl w:val="0"/>
          <w:numId w:val="2"/>
        </w:numPr>
        <w:spacing w:after="100" w:before="100"/>
      </w:pPr>
      <w:r>
        <w:rPr>
          <w:rFonts w:ascii="Arial" w:cs="Arial" w:eastAsia="Arial" w:hAnsi="Arial"/>
          <w:sz w:val="22"/>
          <w:szCs w:val="22"/>
        </w:rPr>
        <w:t xml:space="preserve">Trust Score-mediated matching: The platform surfaces seller Trust Scores as the primary buyer-facing evaluation signal prior to committing Tuppence. The Trust Score is computed from verifiable, platform-observed data and is not self-reported by the seller.</w:t>
      </w:r>
    </w:p>
    <w:p>
      <w:pPr>
        <w:spacing w:after="0" w:before="80"/>
      </w:pPr>
      <w:r>
        <w:t xml:space="preserve"/>
      </w:r>
    </w:p>
    <w:p>
      <w:pPr>
        <w:spacing w:after="40" w:before="160"/>
      </w:pPr>
      <w:r>
        <w:rPr>
          <w:rFonts w:ascii="Arial" w:cs="Arial" w:eastAsia="Arial" w:hAnsi="Arial"/>
          <w:b/>
          <w:bCs/>
          <w:caps/>
          <w:color w:val="444444"/>
          <w:sz w:val="20"/>
          <w:szCs w:val="20"/>
        </w:rPr>
        <w:t xml:space="preserve">Novelty statement</w:t>
      </w:r>
    </w:p>
    <w:p>
      <w:pPr>
        <w:spacing w:after="80" w:before="80"/>
      </w:pPr>
      <w:r>
        <w:rPr>
          <w:rFonts w:ascii="Arial" w:cs="Arial" w:eastAsia="Arial" w:hAnsi="Arial"/>
          <w:sz w:val="22"/>
          <w:szCs w:val="22"/>
        </w:rPr>
        <w:t xml:space="preserve">No existing marketplace platform combines: (i) permanent seller anonymity until mutual agreement; (ii) structurally non-refundable buyer commitment prior to identity disclosure; (iii) a platform-computed trust signal as the primary pre-commitment evaluation mechanism; and (iv) seller discretion to accept or decline each introduction individually. The combination constitutes a novel and non-obvious method of facilitating commercial introductions.</w:t>
      </w:r>
    </w:p>
    <w:p>
      <w:pPr>
        <w:spacing w:after="0" w:before="200"/>
      </w:pPr>
      <w:r>
        <w:t xml:space="preserve"/>
      </w:r>
    </w:p>
    <w:p>
      <w:pPr>
        <w:pStyle w:val="Heading1"/>
        <w:spacing w:after="160" w:before="320"/>
      </w:pPr>
      <w:r>
        <w:rPr>
          <w:rFonts w:ascii="Arial" w:cs="Arial" w:eastAsia="Arial" w:hAnsi="Arial"/>
          <w:b/>
          <w:bCs/>
          <w:color w:val="1E3A5F"/>
          <w:sz w:val="32"/>
          <w:szCs w:val="32"/>
        </w:rPr>
        <w:t xml:space="preserve">3. Dependent Claim — Investment Property Self-Funding Filter</w:t>
      </w:r>
    </w:p>
    <w:p>
      <w:pPr>
        <w:pStyle w:val="Heading2"/>
        <w:spacing w:after="120" w:before="240"/>
      </w:pPr>
      <w:r>
        <w:rPr>
          <w:rFonts w:ascii="Arial" w:cs="Arial" w:eastAsia="Arial" w:hAnsi="Arial"/>
          <w:b/>
          <w:bCs/>
          <w:color w:val="2D6A9F"/>
          <w:sz w:val="26"/>
          <w:szCs w:val="26"/>
        </w:rPr>
        <w:t xml:space="preserve">3.1 Background</w:t>
      </w:r>
    </w:p>
    <w:p>
      <w:pPr>
        <w:spacing w:after="80" w:before="80"/>
      </w:pPr>
      <w:r>
        <w:rPr>
          <w:rFonts w:ascii="Arial" w:cs="Arial" w:eastAsia="Arial" w:hAnsi="Arial"/>
          <w:sz w:val="22"/>
          <w:szCs w:val="22"/>
        </w:rPr>
        <w:t xml:space="preserve">Investment property buyers operating under a self-funding criterion — where rental income must cover bond repayments from the date of acquisition — currently have no platform-level tool to pre-filter listings against this criterion. Buyers must manually compute yield and bond repayment figures for each listing. No property listing platform currently automates this pre-qualification or exposes it as a browse filter.</w:t>
      </w:r>
    </w:p>
    <w:p>
      <w:pPr>
        <w:spacing w:after="0" w:before="80"/>
      </w:pPr>
      <w:r>
        <w:t xml:space="preserve"/>
      </w:r>
    </w:p>
    <w:p>
      <w:pPr>
        <w:pStyle w:val="Heading2"/>
        <w:spacing w:after="120" w:before="240"/>
      </w:pPr>
      <w:r>
        <w:rPr>
          <w:rFonts w:ascii="Arial" w:cs="Arial" w:eastAsia="Arial" w:hAnsi="Arial"/>
          <w:b/>
          <w:bCs/>
          <w:color w:val="2D6A9F"/>
          <w:sz w:val="26"/>
          <w:szCs w:val="26"/>
        </w:rPr>
        <w:t xml:space="preserve">3.2 Claim Language</w:t>
      </w:r>
    </w:p>
    <w:p>
      <w:pPr>
        <w:spacing w:after="80" w:before="80"/>
      </w:pPr>
      <w:r>
        <w:rPr>
          <w:rFonts w:ascii="Arial" w:cs="Arial" w:eastAsia="Arial" w:hAnsi="Arial"/>
          <w:sz w:val="22"/>
          <w:szCs w:val="22"/>
        </w:rPr>
        <w:t xml:space="preserve">A method for pre-qualifying investment property listings against a buyer-defined financial self-sufficiency criterion, comprising:</w:t>
      </w:r>
    </w:p>
    <w:p>
      <w:pPr>
        <w:spacing w:after="0" w:before="80"/>
      </w:pPr>
      <w:r>
        <w:t xml:space="preserve"/>
      </w:r>
    </w:p>
    <w:p>
      <w:pPr>
        <w:pStyle w:val="ListParagraph"/>
        <w:numPr>
          <w:ilvl w:val="0"/>
          <w:numId w:val="2"/>
        </w:numPr>
        <w:spacing w:after="100" w:before="100"/>
      </w:pPr>
      <w:r>
        <w:rPr>
          <w:rFonts w:ascii="Arial" w:cs="Arial" w:eastAsia="Arial" w:hAnsi="Arial"/>
          <w:sz w:val="22"/>
          <w:szCs w:val="22"/>
        </w:rPr>
        <w:t xml:space="preserve">Seller-declared yield inputs: A seller listing interface that accepts an optional monthly rental income figure alongside the asking price. The platform computes gross rental yield (annual rental income divided by asking price) and stores it as a derived field. The seller performs no calculation. The computed yield is displayed as a badge on the listing card and detail view, labelled as gross yield.</w:t>
      </w:r>
    </w:p>
    <w:p>
      <w:pPr>
        <w:pStyle w:val="ListParagraph"/>
        <w:numPr>
          <w:ilvl w:val="0"/>
          <w:numId w:val="2"/>
        </w:numPr>
        <w:spacing w:after="100" w:before="100"/>
      </w:pPr>
      <w:r>
        <w:rPr>
          <w:rFonts w:ascii="Arial" w:cs="Arial" w:eastAsia="Arial" w:hAnsi="Arial"/>
          <w:sz w:val="22"/>
          <w:szCs w:val="22"/>
        </w:rPr>
        <w:t xml:space="preserve">Live bond repayment benchmark: The platform maintains a configurable prevailing prime lending rate. For each listing with declared rental income, the system computes a theoretical monthly bond repayment at a standard amortisation period (configurable; default 20 years) at prime plus a standard margin. This figure is recomputed automatically when the prime rate is updated.</w:t>
      </w:r>
    </w:p>
    <w:p>
      <w:pPr>
        <w:pStyle w:val="ListParagraph"/>
        <w:numPr>
          <w:ilvl w:val="0"/>
          <w:numId w:val="2"/>
        </w:numPr>
        <w:spacing w:after="100" w:before="100"/>
      </w:pPr>
      <w:r>
        <w:rPr>
          <w:rFonts w:ascii="Arial" w:cs="Arial" w:eastAsia="Arial" w:hAnsi="Arial"/>
          <w:sz w:val="22"/>
          <w:szCs w:val="22"/>
        </w:rPr>
        <w:t xml:space="preserve">Self-funding classification: A listing is classified as self-funding where the declared monthly rental income equals or exceeds the computed monthly bond repayment at the current benchmark rate. This classification is stored as a derived boolean field and updated automatically when the prime rate changes.</w:t>
      </w:r>
    </w:p>
    <w:p>
      <w:pPr>
        <w:pStyle w:val="ListParagraph"/>
        <w:numPr>
          <w:ilvl w:val="0"/>
          <w:numId w:val="2"/>
        </w:numPr>
        <w:spacing w:after="100" w:before="100"/>
      </w:pPr>
      <w:r>
        <w:rPr>
          <w:rFonts w:ascii="Arial" w:cs="Arial" w:eastAsia="Arial" w:hAnsi="Arial"/>
          <w:sz w:val="22"/>
          <w:szCs w:val="22"/>
        </w:rPr>
        <w:t xml:space="preserve">Buyer-facing pre-qualification filter: The platform exposes a single-action browse filter — self-funding properties only — surfacing exclusively listings carrying the self-funding classification. The buyer is not required to know the prime rate, bond term, or yield formula. Financial pre-qualification is performed entirely by the platform.</w:t>
      </w:r>
    </w:p>
    <w:p>
      <w:pPr>
        <w:spacing w:after="0" w:before="80"/>
      </w:pPr>
      <w:r>
        <w:t xml:space="preserve"/>
      </w:r>
    </w:p>
    <w:p>
      <w:pPr>
        <w:spacing w:after="40" w:before="160"/>
      </w:pPr>
      <w:r>
        <w:rPr>
          <w:rFonts w:ascii="Arial" w:cs="Arial" w:eastAsia="Arial" w:hAnsi="Arial"/>
          <w:b/>
          <w:bCs/>
          <w:caps/>
          <w:color w:val="444444"/>
          <w:sz w:val="20"/>
          <w:szCs w:val="20"/>
        </w:rPr>
        <w:t xml:space="preserve">Dependency</w:t>
      </w:r>
    </w:p>
    <w:p>
      <w:pPr>
        <w:spacing w:after="80" w:before="80"/>
      </w:pPr>
      <w:r>
        <w:rPr>
          <w:rFonts w:ascii="Arial" w:cs="Arial" w:eastAsia="Arial" w:hAnsi="Arial"/>
          <w:sz w:val="22"/>
          <w:szCs w:val="22"/>
        </w:rPr>
        <w:t xml:space="preserve">This is a dependent claim on Claim 2. A buyer activating the self-funding filter who proceeds to request an introduction does so through the same Tuppence-gated anonymous introduction mechanism. The combination of automated financial pre-qualification and commitment-gated anonymous introduction constitutes the full novel transaction flow.</w:t>
      </w:r>
    </w:p>
    <w:p>
      <w:pPr>
        <w:spacing w:after="0" w:before="80"/>
      </w:pPr>
      <w:r>
        <w:t xml:space="preserve"/>
      </w:r>
    </w:p>
    <w:p>
      <w:pPr>
        <w:spacing w:after="40" w:before="160"/>
      </w:pPr>
      <w:r>
        <w:rPr>
          <w:rFonts w:ascii="Arial" w:cs="Arial" w:eastAsia="Arial" w:hAnsi="Arial"/>
          <w:b/>
          <w:bCs/>
          <w:caps/>
          <w:color w:val="444444"/>
          <w:sz w:val="20"/>
          <w:szCs w:val="20"/>
        </w:rPr>
        <w:t xml:space="preserve">Novelty statement</w:t>
      </w:r>
    </w:p>
    <w:p>
      <w:pPr>
        <w:spacing w:after="80" w:before="80"/>
      </w:pPr>
      <w:r>
        <w:rPr>
          <w:rFonts w:ascii="Arial" w:cs="Arial" w:eastAsia="Arial" w:hAnsi="Arial"/>
          <w:sz w:val="22"/>
          <w:szCs w:val="22"/>
        </w:rPr>
        <w:t xml:space="preserve">No existing property listing platform combines automated self-funding classification based on a live benchmark rate, a single-tap buyer pre-qualification filter, and a commitment-signalling anonymous introduction mechanism in a single transaction flow.</w:t>
      </w:r>
    </w:p>
    <w:p>
      <w:pPr>
        <w:spacing w:after="0" w:before="200"/>
      </w:pPr>
      <w:r>
        <w:t xml:space="preserve"/>
      </w:r>
    </w:p>
    <w:p>
      <w:pPr>
        <w:pStyle w:val="Heading1"/>
        <w:spacing w:after="160" w:before="320"/>
      </w:pPr>
      <w:r>
        <w:rPr>
          <w:rFonts w:ascii="Arial" w:cs="Arial" w:eastAsia="Arial" w:hAnsi="Arial"/>
          <w:b/>
          <w:bCs/>
          <w:color w:val="1E3A5F"/>
          <w:sz w:val="32"/>
          <w:szCs w:val="32"/>
        </w:rPr>
        <w:t xml:space="preserve">4. Future Claim — Bank Pre-Authorisation Hold as Anti-Spoofing Gate for Ultra-High-Value Listings</w:t>
      </w:r>
    </w:p>
    <w:p>
      <w:pPr>
        <w:pStyle w:val="Heading2"/>
        <w:spacing w:after="120" w:before="240"/>
      </w:pPr>
      <w:r>
        <w:rPr>
          <w:rFonts w:ascii="Arial" w:cs="Arial" w:eastAsia="Arial" w:hAnsi="Arial"/>
          <w:b/>
          <w:bCs/>
          <w:color w:val="2D6A9F"/>
          <w:sz w:val="26"/>
          <w:szCs w:val="26"/>
        </w:rPr>
        <w:t xml:space="preserve">4.1 Purpose and Problem Statement</w:t>
      </w:r>
    </w:p>
    <w:p>
      <w:pPr>
        <w:spacing w:after="80" w:before="80"/>
      </w:pPr>
      <w:r>
        <w:rPr>
          <w:rFonts w:ascii="Arial" w:cs="Arial" w:eastAsia="Arial" w:hAnsi="Arial"/>
          <w:sz w:val="22"/>
          <w:szCs w:val="22"/>
        </w:rPr>
        <w:t xml:space="preserve">For ultra-high-value listings — private aircraft, superyachts, game reserves, large commercial or agricultural properties — the primary risk is not time-wasting inquiries but active spoofing, phishing, and fraudulent introduction requests directed at the seller.</w:t>
      </w:r>
    </w:p>
    <w:p>
      <w:pPr>
        <w:spacing w:after="0" w:before="80"/>
      </w:pPr>
      <w:r>
        <w:t xml:space="preserve"/>
      </w:r>
    </w:p>
    <w:p>
      <w:pPr>
        <w:spacing w:after="80" w:before="80"/>
      </w:pPr>
      <w:r>
        <w:rPr>
          <w:rFonts w:ascii="Arial" w:cs="Arial" w:eastAsia="Arial" w:hAnsi="Arial"/>
          <w:b/>
          <w:bCs/>
          <w:sz w:val="22"/>
          <w:szCs w:val="22"/>
        </w:rPr>
        <w:t xml:space="preserve">The threat model is as follows: </w:t>
      </w:r>
      <w:r>
        <w:rPr>
          <w:rFonts w:ascii="Arial" w:cs="Arial" w:eastAsia="Arial" w:hAnsi="Arial"/>
          <w:sz w:val="22"/>
          <w:szCs w:val="22"/>
        </w:rPr>
        <w:t xml:space="preserve">a bad actor — a fraudster, a competitor, or an industrial intelligence operation — creates a synthetic or stolen-identity buyer account and submits an introduction request to a R1 billion seller for the sole purpose of extracting the seller's verified identity, contact details, location, or transaction terms. Once the seller accepts the introduction, their identity is disclosed. The Tuppence commitment signal in Claim 2 mitigates casual spoofing but does not prevent a motivated bad actor who is willing to spend a small amount of platform currency.</w:t>
      </w:r>
    </w:p>
    <w:p>
      <w:pPr>
        <w:spacing w:after="0" w:before="80"/>
      </w:pPr>
      <w:r>
        <w:t xml:space="preserve"/>
      </w:r>
    </w:p>
    <w:p>
      <w:pPr>
        <w:spacing w:after="80" w:before="80"/>
      </w:pPr>
      <w:r>
        <w:rPr>
          <w:rFonts w:ascii="Arial" w:cs="Arial" w:eastAsia="Arial" w:hAnsi="Arial"/>
          <w:sz w:val="22"/>
          <w:szCs w:val="22"/>
        </w:rPr>
        <w:t xml:space="preserve">The mechanism described in this claim closes that gap by requiring the buyer to pass a real bank's identity verification and authentication process — something a synthetic identity or stolen account cannot do — before an introduction request reaches the seller. The bank pre-authorisation hold is not primarily a financial qualification mechanism. It is an anti-spoofing gate that leverages the banking system's existing KYC infrastructure as a proof-of-real-identity signal, without TrustSquare handling any funds or accessing any identity data.</w:t>
      </w:r>
    </w:p>
    <w:p>
      <w:pPr>
        <w:spacing w:after="0" w:before="80"/>
      </w:pPr>
      <w:r>
        <w:t xml:space="preserve"/>
      </w:r>
    </w:p>
    <w:p>
      <w:pPr>
        <w:pBdr>
          <w:left w:val="single" w:color="2D6A9F" w:sz="8" w:space="8"/>
        </w:pBdr>
        <w:spacing w:after="80" w:before="80"/>
        <w:ind w:left="360"/>
      </w:pPr>
      <w:r>
        <w:rPr>
          <w:rFonts w:ascii="Arial" w:cs="Arial" w:eastAsia="Arial" w:hAnsi="Arial"/>
          <w:b/>
          <w:bCs/>
          <w:sz w:val="22"/>
          <w:szCs w:val="22"/>
        </w:rPr>
        <w:t xml:space="preserve">Key insight: </w:t>
      </w:r>
      <w:r>
        <w:rPr>
          <w:rFonts w:ascii="Arial" w:cs="Arial" w:eastAsia="Arial" w:hAnsi="Arial"/>
          <w:sz w:val="22"/>
          <w:szCs w:val="22"/>
        </w:rPr>
        <w:t xml:space="preserve">The amount of the hold is secondary. Even a modest hold on a R1 billion asset is sufficient because it is the bank's 3D Secure authentication — not the monetary value — that proves the buyer is a real, bank-verified individual. No synthetic identity, phishing account, or spoofed buyer can pass a real bank's 3DS challenge.</w:t>
      </w:r>
    </w:p>
    <w:p>
      <w:pPr>
        <w:spacing w:after="0" w:before="80"/>
      </w:pPr>
      <w:r>
        <w:t xml:space="preserve"/>
      </w:r>
    </w:p>
    <w:p>
      <w:pPr>
        <w:pBdr>
          <w:left w:val="single" w:color="E63946" w:sz="8" w:space="8"/>
        </w:pBdr>
        <w:spacing w:after="80" w:before="80"/>
        <w:ind w:left="360"/>
      </w:pPr>
      <w:r>
        <w:rPr>
          <w:rFonts w:ascii="Arial" w:cs="Arial" w:eastAsia="Arial" w:hAnsi="Arial"/>
          <w:i/>
          <w:iCs/>
          <w:color w:val="555555"/>
          <w:sz w:val="20"/>
          <w:szCs w:val="20"/>
        </w:rPr>
        <w:t xml:space="preserve">This claim is a future development item. The mechanism described has not yet been implemented. It is documented here to establish priority date for this novel application of bank pre-authorisation holds as an anti-spoofing gate within an anonymous introduction marketplace.</w:t>
      </w:r>
    </w:p>
    <w:p>
      <w:pPr>
        <w:spacing w:after="0" w:before="80"/>
      </w:pPr>
      <w:r>
        <w:t xml:space="preserve"/>
      </w:r>
    </w:p>
    <w:p>
      <w:pPr>
        <w:pStyle w:val="Heading2"/>
        <w:spacing w:after="120" w:before="240"/>
      </w:pPr>
      <w:r>
        <w:rPr>
          <w:rFonts w:ascii="Arial" w:cs="Arial" w:eastAsia="Arial" w:hAnsi="Arial"/>
          <w:b/>
          <w:bCs/>
          <w:color w:val="2D6A9F"/>
          <w:sz w:val="26"/>
          <w:szCs w:val="26"/>
        </w:rPr>
        <w:t xml:space="preserve">4.2 Claim Language</w:t>
      </w:r>
    </w:p>
    <w:p>
      <w:pPr>
        <w:spacing w:after="80" w:before="80"/>
      </w:pPr>
      <w:r>
        <w:rPr>
          <w:rFonts w:ascii="Arial" w:cs="Arial" w:eastAsia="Arial" w:hAnsi="Arial"/>
          <w:sz w:val="22"/>
          <w:szCs w:val="22"/>
        </w:rPr>
        <w:t xml:space="preserve">A method for preventing spoofed, phished, and fraudulent introduction requests directed at ultra-high-value anonymous sellers on a digital marketplace platform, by using a bank pre-authorisation hold as a real-identity verification gate, comprising:</w:t>
      </w:r>
    </w:p>
    <w:p>
      <w:pPr>
        <w:spacing w:after="0" w:before="80"/>
      </w:pPr>
      <w:r>
        <w:t xml:space="preserve"/>
      </w:r>
    </w:p>
    <w:p>
      <w:pPr>
        <w:pStyle w:val="ListParagraph"/>
        <w:numPr>
          <w:ilvl w:val="0"/>
          <w:numId w:val="2"/>
        </w:numPr>
        <w:spacing w:after="100" w:before="100"/>
      </w:pPr>
      <w:r>
        <w:rPr>
          <w:rFonts w:ascii="Arial" w:cs="Arial" w:eastAsia="Arial" w:hAnsi="Arial"/>
          <w:sz w:val="22"/>
          <w:szCs w:val="22"/>
        </w:rPr>
        <w:t xml:space="preserve">Seller-defined hold threshold: A seller listing interface that allows the seller of a high-value item to specify a minimum pre-authorisation hold amount as a condition of receiving any introduction request. This threshold is displayed publicly on the listing before any buyer interaction. The platform does not set or mandate this threshold — it is a seller-defined anti-spoofing parameter. The primary function of the threshold is not financial qualification but identity verification: it forces the buyer through their bank's authentication process.</w:t>
      </w:r>
    </w:p>
    <w:p>
      <w:pPr>
        <w:pStyle w:val="ListParagraph"/>
        <w:numPr>
          <w:ilvl w:val="0"/>
          <w:numId w:val="2"/>
        </w:numPr>
        <w:spacing w:after="100" w:before="100"/>
      </w:pPr>
      <w:r>
        <w:rPr>
          <w:rFonts w:ascii="Arial" w:cs="Arial" w:eastAsia="Arial" w:hAnsi="Arial"/>
          <w:sz w:val="22"/>
          <w:szCs w:val="22"/>
        </w:rPr>
        <w:t xml:space="preserve">Bank-authenticated buyer identity verification: A buyer who wishes to request an introduction to a hold-threshold listing must complete a pre-authorisation hold of the seller-specified amount through their own card-issuing bank's authentication flow (3D Secure or equivalent). This authentication process is executed entirely by the buyer's bank and card network. It verifies that the buyer is a real, bank-registered individual with a verified identity on file with their bank — exactly the verification that the banking system's KYC processes provide. A synthetic identity, stolen account, or spoofed buyer cannot pass this authentication.</w:t>
      </w:r>
    </w:p>
    <w:p>
      <w:pPr>
        <w:pStyle w:val="ListParagraph"/>
        <w:numPr>
          <w:ilvl w:val="0"/>
          <w:numId w:val="2"/>
        </w:numPr>
        <w:spacing w:after="100" w:before="100"/>
      </w:pPr>
      <w:r>
        <w:rPr>
          <w:rFonts w:ascii="Arial" w:cs="Arial" w:eastAsia="Arial" w:hAnsi="Arial"/>
          <w:sz w:val="22"/>
          <w:szCs w:val="22"/>
        </w:rPr>
        <w:t xml:space="preserve">Platform-as-signal-only architecture: The platform transmits the pre-authorisation request to a payment gateway API and receives only a binary confirmation token indicating that the hold has been successfully placed. No card details, account numbers, identity data, or funds pass through or are stored by TrustSquare at any point. TrustSquare's role is exclusively to transmit the request and receive the confirmation signal — the same function performed by any merchant initiating a pre-authorisation. The banking relationship is exclusively between the buyer, their bank, and the card network.</w:t>
      </w:r>
    </w:p>
    <w:p>
      <w:pPr>
        <w:pStyle w:val="ListParagraph"/>
        <w:numPr>
          <w:ilvl w:val="0"/>
          <w:numId w:val="2"/>
        </w:numPr>
        <w:spacing w:after="100" w:before="100"/>
      </w:pPr>
      <w:r>
        <w:rPr>
          <w:rFonts w:ascii="Arial" w:cs="Arial" w:eastAsia="Arial" w:hAnsi="Arial"/>
          <w:sz w:val="22"/>
          <w:szCs w:val="22"/>
        </w:rPr>
        <w:t xml:space="preserve">Automatic lapse on non-progression: The pre-authorisation hold lapses automatically after a platform-configurable window (default: 72 hours) unless the seller affirmatively confirms deal progression within that window. Lapse is handled entirely by the payment gateway and card network. The platform issues no capture instruction. No funds move at any point unless the parties independently conclude a transaction outside the platform.</w:t>
      </w:r>
    </w:p>
    <w:p>
      <w:pPr>
        <w:pStyle w:val="ListParagraph"/>
        <w:numPr>
          <w:ilvl w:val="0"/>
          <w:numId w:val="2"/>
        </w:numPr>
        <w:spacing w:after="100" w:before="100"/>
      </w:pPr>
      <w:r>
        <w:rPr>
          <w:rFonts w:ascii="Arial" w:cs="Arial" w:eastAsia="Arial" w:hAnsi="Arial"/>
          <w:sz w:val="22"/>
          <w:szCs w:val="22"/>
        </w:rPr>
        <w:t xml:space="preserve">Bilateral fraud resistance — seller side: A seller may not trigger a hold request against a buyer without a verified, active listing. The hold threshold is displayed publicly on the listing before any buyer interaction. A seller cannot use the hold mechanism to probe buyer creditworthiness or bank details without a legitimate listed asset.</w:t>
      </w:r>
    </w:p>
    <w:p>
      <w:pPr>
        <w:pStyle w:val="ListParagraph"/>
        <w:numPr>
          <w:ilvl w:val="0"/>
          <w:numId w:val="2"/>
        </w:numPr>
        <w:spacing w:after="100" w:before="100"/>
      </w:pPr>
      <w:r>
        <w:rPr>
          <w:rFonts w:ascii="Arial" w:cs="Arial" w:eastAsia="Arial" w:hAnsi="Arial"/>
          <w:sz w:val="22"/>
          <w:szCs w:val="22"/>
        </w:rPr>
        <w:t xml:space="preserve">Bilateral fraud resistance — buyer side: The buyer must complete their own bank's 3DS authentication to place the hold. The platform cannot place or trigger a hold on a buyer's account without the buyer's active authentication at their bank. The hold amount is immediately visible in the buyer's own banking app and card statement.</w:t>
      </w:r>
    </w:p>
    <w:p>
      <w:pPr>
        <w:pStyle w:val="ListParagraph"/>
        <w:numPr>
          <w:ilvl w:val="0"/>
          <w:numId w:val="2"/>
        </w:numPr>
        <w:spacing w:after="100" w:before="100"/>
      </w:pPr>
      <w:r>
        <w:rPr>
          <w:rFonts w:ascii="Arial" w:cs="Arial" w:eastAsia="Arial" w:hAnsi="Arial"/>
          <w:sz w:val="22"/>
          <w:szCs w:val="22"/>
        </w:rPr>
        <w:t xml:space="preserve">Integration with anonymous introduction: Successful hold placement generates a confirmation token that is recorded against the buyer's introduction request. The introduction then proceeds through the same anonymous mechanism described in Claim 2: the seller receives the introduction request — now accompanied by a bank-authentication confirmation — and decides whether to accept or decline. Seller identity is disclosed only upon acceptance. The buyer's bank identity is never disclosed to TrustSquare or to the seller.</w:t>
      </w:r>
    </w:p>
    <w:p>
      <w:pPr>
        <w:spacing w:after="0" w:before="80"/>
      </w:pPr>
      <w:r>
        <w:t xml:space="preserve"/>
      </w:r>
    </w:p>
    <w:p>
      <w:pPr>
        <w:pStyle w:val="Heading2"/>
        <w:spacing w:after="120" w:before="240"/>
      </w:pPr>
      <w:r>
        <w:rPr>
          <w:rFonts w:ascii="Arial" w:cs="Arial" w:eastAsia="Arial" w:hAnsi="Arial"/>
          <w:b/>
          <w:bCs/>
          <w:color w:val="2D6A9F"/>
          <w:sz w:val="26"/>
          <w:szCs w:val="26"/>
        </w:rPr>
        <w:t xml:space="preserve">4.3 What This Claim Is Not</w:t>
      </w:r>
    </w:p>
    <w:p>
      <w:pPr>
        <w:pBdr>
          <w:left w:val="single" w:color="E63946" w:sz="8" w:space="8"/>
        </w:pBdr>
        <w:spacing w:after="80" w:before="80"/>
        <w:ind w:left="360"/>
      </w:pPr>
      <w:r>
        <w:rPr>
          <w:rFonts w:ascii="Arial" w:cs="Arial" w:eastAsia="Arial" w:hAnsi="Arial"/>
          <w:i/>
          <w:iCs/>
          <w:color w:val="555555"/>
          <w:sz w:val="20"/>
          <w:szCs w:val="20"/>
        </w:rPr>
        <w:t xml:space="preserve">The following clarifications are provided for counsel's use in distinguishing this mechanism from regulated financial activity.</w:t>
      </w:r>
    </w:p>
    <w:p>
      <w:pPr>
        <w:spacing w:after="0" w:before="60"/>
      </w:pPr>
      <w:r>
        <w:t xml:space="preserve"/>
      </w:r>
    </w:p>
    <w:p>
      <w:pPr>
        <w:pStyle w:val="ListParagraph"/>
        <w:numPr>
          <w:ilvl w:val="0"/>
          <w:numId w:val="3"/>
        </w:numPr>
        <w:spacing w:after="60" w:before="60"/>
      </w:pPr>
      <w:r>
        <w:rPr>
          <w:rFonts w:ascii="Arial" w:cs="Arial" w:eastAsia="Arial" w:hAnsi="Arial"/>
          <w:b/>
          <w:bCs/>
          <w:sz w:val="22"/>
          <w:szCs w:val="22"/>
        </w:rPr>
        <w:t xml:space="preserve">Not a payment service: </w:t>
      </w:r>
      <w:r>
        <w:rPr>
          <w:rFonts w:ascii="Arial" w:cs="Arial" w:eastAsia="Arial" w:hAnsi="Arial"/>
          <w:sz w:val="22"/>
          <w:szCs w:val="22"/>
        </w:rPr>
        <w:t xml:space="preserve">No money moves. No funds are captured, transferred, or held by TrustSquare. The pre-authorisation hold is a reservation only, executed by the buyer's bank.</w:t>
      </w:r>
    </w:p>
    <w:p>
      <w:pPr>
        <w:pStyle w:val="ListParagraph"/>
        <w:numPr>
          <w:ilvl w:val="0"/>
          <w:numId w:val="3"/>
        </w:numPr>
        <w:spacing w:after="60" w:before="60"/>
      </w:pPr>
      <w:r>
        <w:rPr>
          <w:rFonts w:ascii="Arial" w:cs="Arial" w:eastAsia="Arial" w:hAnsi="Arial"/>
          <w:b/>
          <w:bCs/>
          <w:sz w:val="22"/>
          <w:szCs w:val="22"/>
        </w:rPr>
        <w:t xml:space="preserve">Not escrow: </w:t>
      </w:r>
      <w:r>
        <w:rPr>
          <w:rFonts w:ascii="Arial" w:cs="Arial" w:eastAsia="Arial" w:hAnsi="Arial"/>
          <w:sz w:val="22"/>
          <w:szCs w:val="22"/>
        </w:rPr>
        <w:t xml:space="preserve">TrustSquare does not receive, hold, or disburse any funds at any point in the process.</w:t>
      </w:r>
    </w:p>
    <w:p>
      <w:pPr>
        <w:pStyle w:val="ListParagraph"/>
        <w:numPr>
          <w:ilvl w:val="0"/>
          <w:numId w:val="3"/>
        </w:numPr>
        <w:spacing w:after="60" w:before="60"/>
      </w:pPr>
      <w:r>
        <w:rPr>
          <w:rFonts w:ascii="Arial" w:cs="Arial" w:eastAsia="Arial" w:hAnsi="Arial"/>
          <w:b/>
          <w:bCs/>
          <w:sz w:val="22"/>
          <w:szCs w:val="22"/>
        </w:rPr>
        <w:t xml:space="preserve">Not financial intermediation: </w:t>
      </w:r>
      <w:r>
        <w:rPr>
          <w:rFonts w:ascii="Arial" w:cs="Arial" w:eastAsia="Arial" w:hAnsi="Arial"/>
          <w:sz w:val="22"/>
          <w:szCs w:val="22"/>
        </w:rPr>
        <w:t xml:space="preserve">TrustSquare does not facilitate, advise on, or participate in the underlying transaction between buyer and seller. Its role terminates at the point of mutual identity disclosure.</w:t>
      </w:r>
    </w:p>
    <w:p>
      <w:pPr>
        <w:pStyle w:val="ListParagraph"/>
        <w:numPr>
          <w:ilvl w:val="0"/>
          <w:numId w:val="3"/>
        </w:numPr>
        <w:spacing w:after="60" w:before="60"/>
      </w:pPr>
      <w:r>
        <w:rPr>
          <w:rFonts w:ascii="Arial" w:cs="Arial" w:eastAsia="Arial" w:hAnsi="Arial"/>
          <w:b/>
          <w:bCs/>
          <w:sz w:val="22"/>
          <w:szCs w:val="22"/>
        </w:rPr>
        <w:t xml:space="preserve">Not a credit assessment: </w:t>
      </w:r>
      <w:r>
        <w:rPr>
          <w:rFonts w:ascii="Arial" w:cs="Arial" w:eastAsia="Arial" w:hAnsi="Arial"/>
          <w:sz w:val="22"/>
          <w:szCs w:val="22"/>
        </w:rPr>
        <w:t xml:space="preserve">TrustSquare does not evaluate or report on the buyer's creditworthiness. It receives only a binary pass/fail signal from the payment gateway.</w:t>
      </w:r>
    </w:p>
    <w:p>
      <w:pPr>
        <w:pStyle w:val="ListParagraph"/>
        <w:numPr>
          <w:ilvl w:val="0"/>
          <w:numId w:val="3"/>
        </w:numPr>
        <w:spacing w:after="60" w:before="60"/>
      </w:pPr>
      <w:r>
        <w:rPr>
          <w:rFonts w:ascii="Arial" w:cs="Arial" w:eastAsia="Arial" w:hAnsi="Arial"/>
          <w:b/>
          <w:bCs/>
          <w:sz w:val="22"/>
          <w:szCs w:val="22"/>
        </w:rPr>
        <w:t xml:space="preserve">Not a payment system operator: </w:t>
      </w:r>
      <w:r>
        <w:rPr>
          <w:rFonts w:ascii="Arial" w:cs="Arial" w:eastAsia="Arial" w:hAnsi="Arial"/>
          <w:sz w:val="22"/>
          <w:szCs w:val="22"/>
        </w:rPr>
        <w:t xml:space="preserve">TrustSquare does not operate a payment system as defined under the National Payment System Act. It uses a third-party payment gateway API as a merchant would, without operating any settlement, clearing, or netting function.</w:t>
      </w:r>
    </w:p>
    <w:p>
      <w:pPr>
        <w:spacing w:after="0" w:before="80"/>
      </w:pPr>
      <w:r>
        <w:t xml:space="preserve"/>
      </w:r>
    </w:p>
    <w:p>
      <w:pPr>
        <w:spacing w:after="40" w:before="160"/>
      </w:pPr>
      <w:r>
        <w:rPr>
          <w:rFonts w:ascii="Arial" w:cs="Arial" w:eastAsia="Arial" w:hAnsi="Arial"/>
          <w:b/>
          <w:bCs/>
          <w:caps/>
          <w:color w:val="444444"/>
          <w:sz w:val="20"/>
          <w:szCs w:val="20"/>
        </w:rPr>
        <w:t xml:space="preserve">Novelty statement</w:t>
      </w:r>
    </w:p>
    <w:p>
      <w:pPr>
        <w:spacing w:after="80" w:before="80"/>
      </w:pPr>
      <w:r>
        <w:rPr>
          <w:rFonts w:ascii="Arial" w:cs="Arial" w:eastAsia="Arial" w:hAnsi="Arial"/>
          <w:sz w:val="22"/>
          <w:szCs w:val="22"/>
        </w:rPr>
        <w:t xml:space="preserve">No existing anonymous marketplace platform uses a seller-specified bank pre-authorisation hold as an anti-spoofing and real-identity verification gate for introduction requests, where: (i) the primary function is proof-of-real-identity via the banking system's KYC infrastructure rather than financial qualification; (ii) the platform receives only a binary confirmation token and handles no funds or identity data; (iii) the hold lapses automatically on non-progression with no fund movement; and (iv) the mechanism integrates into a commitment-gated anonymous introduction flow protecting an ultra-high-value seller from spoofed, phished, and fraudulent introduction requests. The combination of these properties constitutes a novel and non-obvious method of securing ultra-high-value anonymous introductions.</w:t>
      </w:r>
    </w:p>
    <w:p>
      <w:pPr>
        <w:spacing w:after="0" w:before="200"/>
      </w:pPr>
      <w:r>
        <w:t xml:space="preserve"/>
      </w:r>
    </w:p>
    <w:p>
      <w:pPr>
        <w:pStyle w:val="Heading1"/>
        <w:spacing w:after="160" w:before="320"/>
      </w:pPr>
      <w:r>
        <w:rPr>
          <w:rFonts w:ascii="Arial" w:cs="Arial" w:eastAsia="Arial" w:hAnsi="Arial"/>
          <w:b/>
          <w:bCs/>
          <w:color w:val="1E3A5F"/>
          <w:sz w:val="32"/>
          <w:szCs w:val="32"/>
        </w:rPr>
        <w:t xml:space="preserve">5. Questions for Counsel</w:t>
      </w:r>
    </w:p>
    <w:p>
      <w:pPr>
        <w:spacing w:after="80" w:before="80"/>
      </w:pPr>
      <w:r>
        <w:rPr>
          <w:rFonts w:ascii="Arial" w:cs="Arial" w:eastAsia="Arial" w:hAnsi="Arial"/>
          <w:sz w:val="22"/>
          <w:szCs w:val="22"/>
        </w:rPr>
        <w:t xml:space="preserve">The following questions require counsel's guidance prior to filing:</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Claim 2 — Is the non-refundability of Tuppence best characterised as a structural architectural property (preferred) or as a contractual term? The distinction matters for the strength of the novelty claim.</w:t>
      </w:r>
    </w:p>
    <w:p>
      <w:pPr>
        <w:pStyle w:val="ListParagraph"/>
        <w:numPr>
          <w:ilvl w:val="0"/>
          <w:numId w:val="3"/>
        </w:numPr>
        <w:spacing w:after="60" w:before="60"/>
      </w:pPr>
      <w:r>
        <w:rPr>
          <w:rFonts w:ascii="Arial" w:cs="Arial" w:eastAsia="Arial" w:hAnsi="Arial"/>
          <w:sz w:val="22"/>
          <w:szCs w:val="22"/>
        </w:rPr>
        <w:t xml:space="preserve">Claim 3 — Does the self-funding filter constitute a patentable method claim in South Africa, or is it more appropriately protected under PCT as a business method? Counsel to advise on jurisdiction strategy.</w:t>
      </w:r>
    </w:p>
    <w:p>
      <w:pPr>
        <w:pStyle w:val="ListParagraph"/>
        <w:numPr>
          <w:ilvl w:val="0"/>
          <w:numId w:val="3"/>
        </w:numPr>
        <w:spacing w:after="60" w:before="60"/>
      </w:pPr>
      <w:r>
        <w:rPr>
          <w:rFonts w:ascii="Arial" w:cs="Arial" w:eastAsia="Arial" w:hAnsi="Arial"/>
          <w:sz w:val="22"/>
          <w:szCs w:val="22"/>
        </w:rPr>
        <w:t xml:space="preserve">Claim 3 — Does the yield badge (a computed display field) constitute financial advice under FAIS? Preferred position: it is a mathematical display, not a recommendation. Counsel to confirm.</w:t>
      </w:r>
    </w:p>
    <w:p>
      <w:pPr>
        <w:pStyle w:val="ListParagraph"/>
        <w:numPr>
          <w:ilvl w:val="0"/>
          <w:numId w:val="3"/>
        </w:numPr>
        <w:spacing w:after="60" w:before="60"/>
      </w:pPr>
      <w:r>
        <w:rPr>
          <w:rFonts w:ascii="Arial" w:cs="Arial" w:eastAsia="Arial" w:hAnsi="Arial"/>
          <w:sz w:val="22"/>
          <w:szCs w:val="22"/>
        </w:rPr>
        <w:t xml:space="preserve">Claim 4 — Counsel to confirm that the platform-as-signal-only architecture definitively excludes TrustSquare from classification as a payment service provider under the National Payment System Act, and from financial intermediary status under FAIS. This confirmation is a precondition to implementing Claim 4.</w:t>
      </w:r>
    </w:p>
    <w:p>
      <w:pPr>
        <w:pStyle w:val="ListParagraph"/>
        <w:numPr>
          <w:ilvl w:val="0"/>
          <w:numId w:val="3"/>
        </w:numPr>
        <w:spacing w:after="60" w:before="60"/>
      </w:pPr>
      <w:r>
        <w:rPr>
          <w:rFonts w:ascii="Arial" w:cs="Arial" w:eastAsia="Arial" w:hAnsi="Arial"/>
          <w:sz w:val="22"/>
          <w:szCs w:val="22"/>
        </w:rPr>
        <w:t xml:space="preserve">Claim 4 — Does the use of a bank pre-authorisation hold as an identity verification gate (rather than as a financial mechanism) constitute a novel framing that strengthens patentability? The anti-spoofing characterisation is the preferred framing — counsel to advise whether this is best expressed as the primary claim or as a dependent application.</w:t>
      </w:r>
    </w:p>
    <w:p>
      <w:pPr>
        <w:pStyle w:val="ListParagraph"/>
        <w:numPr>
          <w:ilvl w:val="0"/>
          <w:numId w:val="3"/>
        </w:numPr>
        <w:spacing w:after="60" w:before="60"/>
      </w:pPr>
      <w:r>
        <w:rPr>
          <w:rFonts w:ascii="Arial" w:cs="Arial" w:eastAsia="Arial" w:hAnsi="Arial"/>
          <w:sz w:val="22"/>
          <w:szCs w:val="22"/>
        </w:rPr>
        <w:t xml:space="preserve">All claims — Recommended provisional filing timeline. Claims 2 is live and in production. Claim 3 is in active development. Claim 4 is future but priority date establishment is desired immediately. Counsel to advise on provisional vs. PCT filing strategy.</w:t>
      </w:r>
    </w:p>
    <w:p>
      <w:pPr>
        <w:spacing w:after="0" w:before="160"/>
      </w:pPr>
      <w:r>
        <w:t xml:space="preserve"/>
      </w:r>
    </w:p>
    <w:p>
      <w:pPr>
        <w:pBdr>
          <w:top w:val="single" w:color="1E3A5F" w:sz="4" w:space="8"/>
        </w:pBdr>
        <w:spacing w:after="80" w:before="200"/>
      </w:pPr>
      <w:r>
        <w:rPr>
          <w:rFonts w:ascii="Arial" w:cs="Arial" w:eastAsia="Arial" w:hAnsi="Arial"/>
          <w:i/>
          <w:iCs/>
          <w:color w:val="888888"/>
          <w:sz w:val="20"/>
          <w:szCs w:val="20"/>
        </w:rPr>
        <w:t xml:space="preserve">Prepared by TrustSquare  ·  May 2026  ·  Version 2  ·  Privileged and Confidential</w:t>
      </w:r>
    </w:p>
    <w:p>
      <w:pPr>
        <w:spacing w:after="80" w:before="80"/>
      </w:pPr>
      <w:r>
        <w:rPr>
          <w:rFonts w:ascii="Arial" w:cs="Arial" w:eastAsia="Arial" w:hAnsi="Arial"/>
          <w:sz w:val="22"/>
          <w:szCs w:val="22"/>
        </w:rPr>
        <w:t xml:space="preserve">This document is a working brief prepared for the purpose of instructing patent counsel. It does not constitute legal advice and does not create any rights or obligations. All claim language is subject to counsel's review and amendment.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jc w:val="center"/>
    </w:pPr>
    <w:r>
      <w:rPr>
        <w:rFonts w:ascii="Arial" w:cs="Arial" w:eastAsia="Arial" w:hAnsi="Arial"/>
        <w:color w:val="999999"/>
        <w:sz w:val="18"/>
        <w:szCs w:val="18"/>
      </w:rPr>
      <w:t xml:space="preserve">Privileged &amp; Confidential  ·  Attorney-Client Communication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8026"/>
      </w:tabs>
    </w:pPr>
    <w:r>
      <w:rPr>
        <w:rFonts w:ascii="Arial" w:cs="Arial" w:eastAsia="Arial" w:hAnsi="Arial"/>
        <w:color w:val="999999"/>
        <w:sz w:val="18"/>
        <w:szCs w:val="18"/>
      </w:rPr>
      <w:t xml:space="preserve">Trustsquare (Pty) Ltd  ·  Reg 2026/340128/07  ·  CONFIDENTIAL</w:t>
    </w:r>
    <w:r>
      <w:rPr>
        <w:rFonts w:ascii="Arial" w:cs="Arial" w:eastAsia="Arial" w:hAnsi="Arial"/>
        <w:color w:val="999999"/>
        <w:sz w:val="18"/>
        <w:szCs w:val="18"/>
      </w:rPr>
      <w:t xml:space="preserve">	IP Brief v2  ·  Patent Claim Language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80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2026-05-19T03:19:30.732Z</dcterms:created>
  <dcterms:modified xsi:type="dcterms:W3CDTF">2026-05-19T03:19:30.732Z</dcterms:modified>
</cp:coreProperties>
</file>

<file path=docProps/custom.xml><?xml version="1.0" encoding="utf-8"?>
<Properties xmlns="http://schemas.openxmlformats.org/officeDocument/2006/custom-properties" xmlns:vt="http://schemas.openxmlformats.org/officeDocument/2006/docPropsVTypes"/>
</file>