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56"/>
          <w:szCs w:val="56"/>
        </w:rPr>
        <w:t xml:space="preserve">TrustSquare</w:t>
      </w:r>
    </w:p>
    <w:p>
      <w:pPr>
        <w:spacing w:after="80"/>
        <w:jc w:val="center"/>
      </w:pPr>
      <w:r>
        <w:rPr>
          <w:rFonts w:ascii="Arial" w:cs="Arial" w:eastAsia="Arial" w:hAnsi="Arial"/>
          <w:color w:val="404040"/>
          <w:sz w:val="24"/>
          <w:szCs w:val="24"/>
        </w:rPr>
        <w:t xml:space="preserve">Trustsquare (Pty) Ltd  ·  Reg 2026/340128/07</w:t>
      </w:r>
    </w:p>
    <w:p>
      <w:pPr>
        <w:spacing w:after="80"/>
        <w:jc w:val="center"/>
      </w:pPr>
      <w:r>
        <w:rPr>
          <w:rFonts w:ascii="Arial" w:cs="Arial" w:eastAsia="Arial" w:hAnsi="Arial"/>
          <w:color w:val="606060"/>
          <w:sz w:val="22"/>
          <w:szCs w:val="22"/>
        </w:rPr>
        <w:t xml:space="preserve">Director: David Maurice Conradie</w:t>
      </w:r>
    </w:p>
    <w:p>
      <w:pPr>
        <w:spacing w:after="80"/>
        <w:jc w:val="center"/>
      </w:pPr>
      <w:r>
        <w:rPr>
          <w:rFonts w:ascii="Arial" w:cs="Arial" w:eastAsia="Arial" w:hAnsi="Arial"/>
          <w:b/>
          <w:bCs/>
          <w:color w:val="2E75B6"/>
          <w:sz w:val="28"/>
          <w:szCs w:val="28"/>
        </w:rPr>
        <w:t xml:space="preserve">IP Brief v3  —  Patent Claim Language</w:t>
      </w:r>
    </w:p>
    <w:p>
      <w:pPr>
        <w:spacing w:after="80"/>
        <w:jc w:val="center"/>
      </w:pPr>
      <w:r>
        <w:rPr>
          <w:rFonts w:ascii="Arial" w:cs="Arial" w:eastAsia="Arial" w:hAnsi="Arial"/>
          <w:i/>
          <w:iCs/>
          <w:color w:val="606060"/>
          <w:sz w:val="22"/>
          <w:szCs w:val="22"/>
        </w:rPr>
        <w:t xml:space="preserve">For review by patent counsel — South African and PCT provisional filing</w:t>
      </w:r>
    </w:p>
    <w:p>
      <w:pPr>
        <w:spacing w:after="80"/>
        <w:jc w:val="center"/>
      </w:pPr>
      <w:r>
        <w:rPr>
          <w:rFonts w:ascii="Arial" w:cs="Arial" w:eastAsia="Arial" w:hAnsi="Arial"/>
          <w:color w:val="808080"/>
          <w:sz w:val="20"/>
          <w:szCs w:val="20"/>
        </w:rPr>
        <w:t xml:space="preserve">May 2026  ·  Version 3  ·  Confidential</w:t>
      </w:r>
    </w:p>
    <w:p>
      <w:pPr>
        <w:spacing w:after="400"/>
        <w:jc w:val="center"/>
      </w:pPr>
      <w:r>
        <w:rPr>
          <w:rFonts w:ascii="Arial" w:cs="Arial" w:eastAsia="Arial" w:hAnsi="Arial"/>
          <w:b/>
          <w:bCs/>
          <w:color w:val="C00000"/>
          <w:sz w:val="20"/>
          <w:szCs w:val="20"/>
        </w:rPr>
        <w:t xml:space="preserve">PRIVILEGED AND CONFIDENTIAL — ATTORNEY-CLIENT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2E75B6" w:sz="12"/>
              <w:bottom w:val="single" w:color="CCCCCC" w:sz="1"/>
              <w:right w:val="single" w:color="CCCCCC" w:sz="1"/>
            </w:tcBorders>
            <w:shd w:fill="EBF3FB" w:val="clear"/>
            <w:tcMar>
              <w:top w:type="dxa" w:w="100"/>
              <w:left w:type="dxa" w:w="200"/>
              <w:bottom w:type="dxa" w:w="100"/>
              <w:right w:type="dxa" w:w="160"/>
            </w:tcMar>
          </w:tcPr>
          <w:p>
            <w:r>
              <w:rPr>
                <w:rFonts w:ascii="Arial" w:cs="Arial" w:eastAsia="Arial" w:hAnsi="Arial"/>
                <w:b/>
                <w:bCs/>
                <w:color w:val="2E75B6"/>
                <w:sz w:val="22"/>
                <w:szCs w:val="22"/>
              </w:rPr>
              <w:t xml:space="preserve">Version History</w:t>
            </w:r>
          </w:p>
          <w:p>
            <w:r>
              <w:rPr>
                <w:rFonts w:ascii="Arial" w:cs="Arial" w:eastAsia="Arial" w:hAnsi="Arial"/>
                <w:sz w:val="20"/>
                <w:szCs w:val="20"/>
              </w:rPr>
              <w:t xml:space="preserve">v1 (April 2026): Initial 7-claim draft  |  v2 (May 2026): Claim 8 Heritage layer added; dependent claim investment property self-funding filter; ultra-high-value bank hold gate  |  v3 (May 2026): Subscription tier redesign (5 tiers, slot enforcement), AI Services layer (10 services, Tuppence-gated), AI Guardrail Architecture (existence gate + spend register) — all now patentable elements within Claim 7 (Combination Claim)</w:t>
            </w:r>
          </w:p>
        </w:tc>
      </w:tr>
    </w:tbl>
    <w:p>
      <w:r>
        <w:t xml:space="preserve"/>
      </w:r>
    </w:p>
    <w:p>
      <w:pPr>
        <w:pStyle w:val="Heading1"/>
      </w:pPr>
      <w:r>
        <w:rPr>
          <w:rFonts w:ascii="Arial" w:cs="Arial" w:eastAsia="Arial" w:hAnsi="Arial"/>
          <w:b/>
          <w:bCs/>
          <w:sz w:val="32"/>
          <w:szCs w:val="32"/>
        </w:rPr>
        <w:t xml:space="preserve">1. Platform Overview</w:t>
      </w:r>
    </w:p>
    <w:p>
      <w:pPr>
        <w:spacing w:after="120"/>
      </w:pPr>
      <w:r>
        <w:rPr>
          <w:rFonts w:ascii="Arial" w:cs="Arial" w:eastAsia="Arial" w:hAnsi="Arial"/>
          <w:sz w:val="22"/>
          <w:szCs w:val="22"/>
        </w:rPr>
        <w:t xml:space="preserve">TrustSquare is a mobile-first anonymous marketplace platform connecting buyers with verified anonymous sellers through a non-refundable introduction currency called Tuppence. The platform operates exclusively as an introduction intermediary — it does not conclude transactions, hold client funds beyond the Tuppence introduction currency, provide financial advice, or act as a financial intermediary under FAIS or any other regulatory framework.</w:t>
      </w:r>
    </w:p>
    <w:p>
      <w:pPr>
        <w:spacing w:after="120"/>
      </w:pPr>
      <w:r>
        <w:rPr>
          <w:rFonts w:ascii="Arial" w:cs="Arial" w:eastAsia="Arial" w:hAnsi="Arial"/>
          <w:sz w:val="22"/>
          <w:szCs w:val="22"/>
        </w:rPr>
        <w:t xml:space="preserve">The platform is live at trustsquare.co (BEA v1.3.4) and is registered as Trustsquare (Pty) Ltd, Reg 2026/340128/07, South Africa. 56 live listings are active as of May 2026.</w:t>
      </w:r>
    </w:p>
    <w:p>
      <w:pPr>
        <w:spacing w:after="120"/>
      </w:pPr>
      <w:r>
        <w:rPr>
          <w:rFonts w:ascii="Arial" w:cs="Arial" w:eastAsia="Arial" w:hAnsi="Arial"/>
          <w:sz w:val="22"/>
          <w:szCs w:val="22"/>
        </w:rPr>
        <w:t xml:space="preserve">Three independent revenue streams operate: (1) subscription tiers ($0–$100/month, five tiers, slot-gated); (2) Tuppence introduction fees ($2 per accepted introduction); (3) AI services micro-payments (1–3 Tuppence per AI call). Tuppence per-introduction cost is architecturally separate from subscription pricing and is never combined with tier pricing.</w:t>
      </w:r>
    </w:p>
    <w:p>
      <w:r>
        <w:t xml:space="preserve"/>
      </w:r>
    </w:p>
    <w:p>
      <w:pPr>
        <w:pStyle w:val="Heading1"/>
      </w:pPr>
      <w:r>
        <w:rPr>
          <w:rFonts w:ascii="Arial" w:cs="Arial" w:eastAsia="Arial" w:hAnsi="Arial"/>
          <w:b/>
          <w:bCs/>
          <w:sz w:val="32"/>
          <w:szCs w:val="32"/>
        </w:rPr>
        <w:t xml:space="preserve">2. Core Claim — Commitment-Gated Anonymous Introduction</w:t>
      </w:r>
    </w:p>
    <w:p>
      <w:pPr>
        <w:pStyle w:val="Heading2"/>
      </w:pPr>
      <w:r>
        <w:rPr>
          <w:rFonts w:ascii="Arial" w:cs="Arial" w:eastAsia="Arial" w:hAnsi="Arial"/>
          <w:b/>
          <w:bCs/>
          <w:sz w:val="26"/>
          <w:szCs w:val="26"/>
        </w:rPr>
        <w:t xml:space="preserve">2.1 Background</w:t>
      </w:r>
    </w:p>
    <w:p>
      <w:pPr>
        <w:spacing w:after="120"/>
      </w:pPr>
      <w:r>
        <w:rPr>
          <w:rFonts w:ascii="Arial" w:cs="Arial" w:eastAsia="Arial" w:hAnsi="Arial"/>
          <w:sz w:val="22"/>
          <w:szCs w:val="22"/>
        </w:rPr>
        <w:t xml:space="preserve">Existing marketplace platforms disclose seller identity and contact details either freely or upon registration. None employ a mechanism that requires a buyer to make an irreversible commitment signal — surrendering a non-refundable unit of value — before any identifying information about the seller is disclosed. The result is a high volume of low-quality, uncommitted inquiries that burden sellers and degrade the marketplace experience.</w:t>
      </w:r>
    </w:p>
    <w:p>
      <w:pPr>
        <w:pStyle w:val="Heading2"/>
      </w:pPr>
      <w:r>
        <w:rPr>
          <w:rFonts w:ascii="Arial" w:cs="Arial" w:eastAsia="Arial" w:hAnsi="Arial"/>
          <w:b/>
          <w:bCs/>
          <w:sz w:val="26"/>
          <w:szCs w:val="26"/>
        </w:rPr>
        <w:t xml:space="preserve">2.2 Claim Language</w:t>
      </w:r>
    </w:p>
    <w:p>
      <w:pPr>
        <w:spacing w:after="120"/>
      </w:pPr>
      <w:r>
        <w:rPr>
          <w:rFonts w:ascii="Arial" w:cs="Arial" w:eastAsia="Arial" w:hAnsi="Arial"/>
          <w:sz w:val="22"/>
          <w:szCs w:val="22"/>
        </w:rPr>
        <w:t xml:space="preserve">A method for facilitating anonymous commercial introductions between buyers and sellers on a digital marketplace platform, comprising: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2E75B6" w:sz="12"/>
              <w:bottom w:val="single" w:color="CCCCCC" w:sz="1"/>
              <w:right w:val="single" w:color="CCCCCC" w:sz="1"/>
            </w:tcBorders>
            <w:shd w:fill="EBF3FB" w:val="clear"/>
            <w:tcMar>
              <w:top w:type="dxa" w:w="100"/>
              <w:left w:type="dxa" w:w="200"/>
              <w:bottom w:type="dxa" w:w="100"/>
              <w:right w:type="dxa" w:w="160"/>
            </w:tcMar>
          </w:tcPr>
          <w:p>
            <w:r>
              <w:rPr>
                <w:rFonts w:ascii="Arial" w:cs="Arial" w:eastAsia="Arial" w:hAnsi="Arial"/>
                <w:b/>
                <w:bCs/>
                <w:color w:val="2E75B6"/>
                <w:sz w:val="22"/>
                <w:szCs w:val="22"/>
              </w:rPr>
              <w:t xml:space="preserve">Claim Element 1 — Seller Anonymity Preservation</w:t>
            </w:r>
          </w:p>
          <w:p>
            <w:r>
              <w:rPr>
                <w:rFonts w:ascii="Arial" w:cs="Arial" w:eastAsia="Arial" w:hAnsi="Arial"/>
                <w:sz w:val="20"/>
                <w:szCs w:val="20"/>
              </w:rPr>
              <w:t xml:space="preserve">A seller registration and listing system wherein the seller's identity, contact details, and location are withheld from all buyers at all times prior to a mutually accepted introduction. The platform assigns a verified Trust Score to each seller based on credentials, completed introductions, response rate, and buyer ratings. The Trust Score is displayed to buyers in lieu of identifying information.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2E75B6" w:sz="12"/>
              <w:bottom w:val="single" w:color="CCCCCC" w:sz="1"/>
              <w:right w:val="single" w:color="CCCCCC" w:sz="1"/>
            </w:tcBorders>
            <w:shd w:fill="EBF3FB" w:val="clear"/>
            <w:tcMar>
              <w:top w:type="dxa" w:w="100"/>
              <w:left w:type="dxa" w:w="200"/>
              <w:bottom w:type="dxa" w:w="100"/>
              <w:right w:type="dxa" w:w="160"/>
            </w:tcMar>
          </w:tcPr>
          <w:p>
            <w:r>
              <w:rPr>
                <w:rFonts w:ascii="Arial" w:cs="Arial" w:eastAsia="Arial" w:hAnsi="Arial"/>
                <w:b/>
                <w:bCs/>
                <w:color w:val="2E75B6"/>
                <w:sz w:val="22"/>
                <w:szCs w:val="22"/>
              </w:rPr>
              <w:t xml:space="preserve">Claim Element 2 — Non-Refundable Introduction Currency</w:t>
            </w:r>
          </w:p>
          <w:p>
            <w:r>
              <w:rPr>
                <w:rFonts w:ascii="Arial" w:cs="Arial" w:eastAsia="Arial" w:hAnsi="Arial"/>
                <w:sz w:val="20"/>
                <w:szCs w:val="20"/>
              </w:rPr>
              <w:t xml:space="preserve">A platform-native currency unit (Tuppence, 1T = USD $2) which buyers acquire through a payment mechanism and which is consumed, without refund or recovery under any circumstances, at the moment a buyer initiates an introduction request to a seller. The non-refundability is structurally enforced — it is not a policy choice but an architectural property of the currency system. This irreversibility constitutes a commitment signal that is visible to the seller prior to accepting or declining the introduction. [Banks Act 94 of 1990 risk: confirmed NO RISK — see Erratum 2026-05-12]</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2E75B6" w:sz="12"/>
              <w:bottom w:val="single" w:color="CCCCCC" w:sz="1"/>
              <w:right w:val="single" w:color="CCCCCC" w:sz="1"/>
            </w:tcBorders>
            <w:shd w:fill="EBF3FB" w:val="clear"/>
            <w:tcMar>
              <w:top w:type="dxa" w:w="100"/>
              <w:left w:type="dxa" w:w="200"/>
              <w:bottom w:type="dxa" w:w="100"/>
              <w:right w:type="dxa" w:w="160"/>
            </w:tcMar>
          </w:tcPr>
          <w:p>
            <w:r>
              <w:rPr>
                <w:rFonts w:ascii="Arial" w:cs="Arial" w:eastAsia="Arial" w:hAnsi="Arial"/>
                <w:b/>
                <w:bCs/>
                <w:color w:val="2E75B6"/>
                <w:sz w:val="22"/>
                <w:szCs w:val="22"/>
              </w:rPr>
              <w:t xml:space="preserve">Claim Element 3 — Commitment-Gated Identity Disclosure</w:t>
            </w:r>
          </w:p>
          <w:p>
            <w:r>
              <w:rPr>
                <w:rFonts w:ascii="Arial" w:cs="Arial" w:eastAsia="Arial" w:hAnsi="Arial"/>
                <w:sz w:val="20"/>
                <w:szCs w:val="20"/>
              </w:rPr>
              <w:t xml:space="preserve">The seller's identifying information is disclosed to the buyer only upon the seller's affirmative acceptance of the introduction request. Neither party's identity is disclosed to the other prior to mutual agreement.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2E75B6" w:sz="12"/>
              <w:bottom w:val="single" w:color="CCCCCC" w:sz="1"/>
              <w:right w:val="single" w:color="CCCCCC" w:sz="1"/>
            </w:tcBorders>
            <w:shd w:fill="EBF3FB" w:val="clear"/>
            <w:tcMar>
              <w:top w:type="dxa" w:w="100"/>
              <w:left w:type="dxa" w:w="200"/>
              <w:bottom w:type="dxa" w:w="100"/>
              <w:right w:type="dxa" w:w="160"/>
            </w:tcMar>
          </w:tcPr>
          <w:p>
            <w:r>
              <w:rPr>
                <w:rFonts w:ascii="Arial" w:cs="Arial" w:eastAsia="Arial" w:hAnsi="Arial"/>
                <w:b/>
                <w:bCs/>
                <w:color w:val="2E75B6"/>
                <w:sz w:val="22"/>
                <w:szCs w:val="22"/>
              </w:rPr>
              <w:t xml:space="preserve">Claim Element 4 — Trust Score-Mediated Matching</w:t>
            </w:r>
          </w:p>
          <w:p>
            <w:r>
              <w:rPr>
                <w:rFonts w:ascii="Arial" w:cs="Arial" w:eastAsia="Arial" w:hAnsi="Arial"/>
                <w:sz w:val="20"/>
                <w:szCs w:val="20"/>
              </w:rPr>
              <w:t xml:space="preserve">The platform surfaces seller Trust Scores as the primary buyer-facing evaluation signal prior to committing Tuppence. The Trust Score is computed from verifiable, platform-observed data and is not self-reported by the seller.</w:t>
            </w:r>
          </w:p>
        </w:tc>
      </w:tr>
    </w:tbl>
    <w:p>
      <w:r>
        <w:t xml:space="preserve"/>
      </w:r>
    </w:p>
    <w:p>
      <w:pPr>
        <w:spacing w:after="120"/>
      </w:pPr>
      <w:r>
        <w:rPr>
          <w:rFonts w:ascii="Arial" w:cs="Arial" w:eastAsia="Arial" w:hAnsi="Arial"/>
          <w:sz w:val="22"/>
          <w:szCs w:val="22"/>
        </w:rPr>
        <w:t xml:space="preserve">Novelty statement: No existing marketplace platform combines (i) permanent seller anonymity until mutual agreement; (ii) structurally non-refundable buyer commitment prior to identity disclosure; (iii) a platform-computed trust signal as the primary pre-commitment evaluation mechanism; and (iv) seller discretion to accept or decline each introduction individually.</w:t>
      </w:r>
    </w:p>
    <w:p>
      <w:r>
        <w:t xml:space="preserve"/>
      </w:r>
    </w:p>
    <w:p>
      <w:pPr>
        <w:pStyle w:val="Heading1"/>
      </w:pPr>
      <w:r>
        <w:rPr>
          <w:rFonts w:ascii="Arial" w:cs="Arial" w:eastAsia="Arial" w:hAnsi="Arial"/>
          <w:b/>
          <w:bCs/>
          <w:sz w:val="32"/>
          <w:szCs w:val="32"/>
        </w:rPr>
        <w:t xml:space="preserve">3. Full Claim Schedule (8 Claims)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sz w:val="24"/>
                <w:szCs w:val="24"/>
              </w:rPr>
              <w:t xml:space="preserve">Claim 1: Unified Participation Model   </w:t>
            </w:r>
            <w:r>
              <w:rPr>
                <w:rFonts w:ascii="Arial" w:cs="Arial" w:eastAsia="Arial" w:hAnsi="Arial"/>
                <w:b/>
                <w:bCs/>
                <w:color w:val="2E7D32"/>
                <w:sz w:val="20"/>
                <w:szCs w:val="20"/>
              </w:rPr>
              <w:t xml:space="preserve">[STRONG]</w:t>
            </w:r>
          </w:p>
          <w:p>
            <w:pPr>
              <w:spacing w:before="80"/>
            </w:pPr>
            <w:r>
              <w:rPr>
                <w:rFonts w:ascii="Arial" w:cs="Arial" w:eastAsia="Arial" w:hAnsi="Arial"/>
                <w:sz w:val="20"/>
                <w:szCs w:val="20"/>
              </w:rPr>
              <w:t xml:space="preserve">Role derived from transaction state, not database column. A single-table user model where buyer/seller status is a state derived from activity (listings published, Tuppence balance held), not a schema column. The same user may hold both roles simultaneously. Schema: users(id, email, name, tuppence_balance, trust_score, subscription_tier, slot_limit, photo_url, created_at).</w:t>
            </w:r>
          </w:p>
          <w:p>
            <w:pPr>
              <w:spacing w:before="80"/>
            </w:pPr>
            <w:r>
              <w:rPr>
                <w:rFonts w:ascii="Arial" w:cs="Arial" w:eastAsia="Arial" w:hAnsi="Arial"/>
                <w:i/>
                <w:iCs/>
                <w:sz w:val="20"/>
                <w:szCs w:val="20"/>
              </w:rPr>
              <w:t xml:space="preserve">Novelty: No existing marketplace platform implements role emergence from transaction state. All known prior art (eBay, Gumtree, Facebook Marketplace, Airbnb) uses explicit role columns or separate tables.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sz w:val="24"/>
                <w:szCs w:val="24"/>
              </w:rPr>
              <w:t xml:space="preserve">Claim 2: Tuppence Introduction Currency   </w:t>
            </w:r>
            <w:r>
              <w:rPr>
                <w:rFonts w:ascii="Arial" w:cs="Arial" w:eastAsia="Arial" w:hAnsi="Arial"/>
                <w:b/>
                <w:bCs/>
                <w:color w:val="2E7D32"/>
                <w:sz w:val="20"/>
                <w:szCs w:val="20"/>
              </w:rPr>
              <w:t xml:space="preserve">[STRONG]</w:t>
            </w:r>
          </w:p>
          <w:p>
            <w:pPr>
              <w:spacing w:before="80"/>
            </w:pPr>
            <w:r>
              <w:rPr>
                <w:rFonts w:ascii="Arial" w:cs="Arial" w:eastAsia="Arial" w:hAnsi="Arial"/>
                <w:sz w:val="20"/>
                <w:szCs w:val="20"/>
              </w:rPr>
              <w:t xml:space="preserve">Non-transferable, non-refundable commitment signal (1T = $2 USD). Functions simultaneously as: (a) spam filter — cost screens uncommitted buyers; (b) commitment signal — irreversibility visible to seller before acceptance; (c) seller quality input — introduction acceptance rate feeds Trust Score. Cannot be withdrawn as cash. No regulatory classification as financial instrument (Banks Act 94 of 1990: confirmed NO RISK — closed-loop service credit, no repayment mechanism).</w:t>
            </w:r>
          </w:p>
          <w:p>
            <w:pPr>
              <w:spacing w:before="80"/>
            </w:pPr>
            <w:r>
              <w:rPr>
                <w:rFonts w:ascii="Arial" w:cs="Arial" w:eastAsia="Arial" w:hAnsi="Arial"/>
                <w:i/>
                <w:iCs/>
                <w:sz w:val="20"/>
                <w:szCs w:val="20"/>
              </w:rPr>
              <w:t xml:space="preserve">Novelty: No known platform uses a non-refundable currency unit simultaneously as spam filter, commitment signal, and seller quality metric input.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sz w:val="24"/>
                <w:szCs w:val="24"/>
              </w:rPr>
              <w:t xml:space="preserve">Claim 3: Anonymous Introduction Protocol   </w:t>
            </w:r>
            <w:r>
              <w:rPr>
                <w:rFonts w:ascii="Arial" w:cs="Arial" w:eastAsia="Arial" w:hAnsi="Arial"/>
                <w:b/>
                <w:bCs/>
                <w:color w:val="2E7D32"/>
                <w:sz w:val="20"/>
                <w:szCs w:val="20"/>
              </w:rPr>
              <w:t xml:space="preserve">[STRONG]</w:t>
            </w:r>
          </w:p>
          <w:p>
            <w:pPr>
              <w:spacing w:before="80"/>
            </w:pPr>
            <w:r>
              <w:rPr>
                <w:rFonts w:ascii="Arial" w:cs="Arial" w:eastAsia="Arial" w:hAnsi="Arial"/>
                <w:sz w:val="20"/>
                <w:szCs w:val="20"/>
              </w:rPr>
              <w:t xml:space="preserve">No PII transmitted until bilateral simultaneous consent. Protocol: (1) buyer browses anonymised profiles; (2) buyer spends Tuppence to request introduction; (3) seller receives pseudonymised buyer summary; (4) seller accepts or declines; (5) on acceptance, both parties receive contact details simultaneously. Contact details are never stored in either party's device prior to mutual consent.</w:t>
            </w:r>
          </w:p>
          <w:p>
            <w:pPr>
              <w:spacing w:before="80"/>
            </w:pPr>
            <w:r>
              <w:rPr>
                <w:rFonts w:ascii="Arial" w:cs="Arial" w:eastAsia="Arial" w:hAnsi="Arial"/>
                <w:i/>
                <w:iCs/>
                <w:sz w:val="20"/>
                <w:szCs w:val="20"/>
              </w:rPr>
              <w:t xml:space="preserve">Novelty: Combination of commitment gate + bilateral simultaneous disclosure is not implemented in any known prior art.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Claim 4: Trust Score Composite   </w:t>
            </w:r>
            <w:r>
              <w:rPr>
                <w:rFonts w:ascii="Arial" w:cs="Arial" w:eastAsia="Arial" w:hAnsi="Arial"/>
                <w:b/>
                <w:bCs/>
                <w:color w:val="F57F17"/>
                <w:sz w:val="20"/>
                <w:szCs w:val="20"/>
              </w:rPr>
              <w:t xml:space="preserve">[SOLID]</w:t>
            </w:r>
          </w:p>
          <w:p>
            <w:pPr>
              <w:spacing w:before="80"/>
            </w:pPr>
            <w:r>
              <w:rPr>
                <w:rFonts w:ascii="Arial" w:cs="Arial" w:eastAsia="Arial" w:hAnsi="Arial"/>
                <w:sz w:val="20"/>
                <w:szCs w:val="20"/>
              </w:rPr>
              <w:t xml:space="preserve">Server-computed composite metric (0–100). Components: verified credentials (30%), completed introductions vs. accepted (25%), average buyer rating (25%), response rate (10%), account tenure (10%). Cannot be self-reported or self-modified. Penalties for ignoring introductions (Trust Score −5 commitment / −3 queue). No Tuppence deducted as penalty (Principle A8).</w:t>
            </w:r>
          </w:p>
          <w:p>
            <w:pPr>
              <w:spacing w:before="80"/>
            </w:pPr>
            <w:r>
              <w:rPr>
                <w:rFonts w:ascii="Arial" w:cs="Arial" w:eastAsia="Arial" w:hAnsi="Arial"/>
                <w:i/>
                <w:iCs/>
                <w:sz w:val="20"/>
                <w:szCs w:val="20"/>
              </w:rPr>
              <w:t xml:space="preserve">Novelty: Server-computed trust from platform-observed behavioural data, not self-report, is not standard in marketplace prior art.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Claim 5: Geo-Hierarchical Visibility Gating   </w:t>
            </w:r>
            <w:r>
              <w:rPr>
                <w:rFonts w:ascii="Arial" w:cs="Arial" w:eastAsia="Arial" w:hAnsi="Arial"/>
                <w:b/>
                <w:bCs/>
                <w:color w:val="F57F17"/>
                <w:sz w:val="20"/>
                <w:szCs w:val="20"/>
              </w:rPr>
              <w:t xml:space="preserve">[SOLID]</w:t>
            </w:r>
          </w:p>
          <w:p>
            <w:pPr>
              <w:spacing w:before="80"/>
            </w:pPr>
            <w:r>
              <w:rPr>
                <w:rFonts w:ascii="Arial" w:cs="Arial" w:eastAsia="Arial" w:hAnsi="Arial"/>
                <w:sz w:val="20"/>
                <w:szCs w:val="20"/>
              </w:rPr>
              <w:t xml:space="preserve">4-level geographic hierarchy (Country → Region → City → Suburb). Listing visibility is gated by seller subscription tier: Free tier = suburb-level only; Standard = city-level; Professional = region-level; Business/Elite = country-level. 4-level hierarchy seeded with 54 cities and 11,679 suburbs for South Africa.</w:t>
            </w:r>
          </w:p>
          <w:p>
            <w:pPr>
              <w:spacing w:before="80"/>
            </w:pPr>
            <w:r>
              <w:rPr>
                <w:rFonts w:ascii="Arial" w:cs="Arial" w:eastAsia="Arial" w:hAnsi="Arial"/>
                <w:i/>
                <w:iCs/>
                <w:sz w:val="20"/>
                <w:szCs w:val="20"/>
              </w:rPr>
              <w:t xml:space="preserve">Novelty: Geo-hierarchy gating tied to subscription tier as primary visibility control (not paid promotion/advertising) is not implemented in known prior art.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Claim 6: Founding Seller Cohort   </w:t>
            </w:r>
            <w:r>
              <w:rPr>
                <w:rFonts w:ascii="Arial" w:cs="Arial" w:eastAsia="Arial" w:hAnsi="Arial"/>
                <w:b/>
                <w:bCs/>
                <w:color w:val="F57F17"/>
                <w:sz w:val="20"/>
                <w:szCs w:val="20"/>
              </w:rPr>
              <w:t xml:space="preserve">[SOLID]</w:t>
            </w:r>
          </w:p>
          <w:p>
            <w:pPr>
              <w:spacing w:before="80"/>
            </w:pPr>
            <w:r>
              <w:rPr>
                <w:rFonts w:ascii="Arial" w:cs="Arial" w:eastAsia="Arial" w:hAnsi="Arial"/>
                <w:sz w:val="20"/>
                <w:szCs w:val="20"/>
              </w:rPr>
              <w:t xml:space="preserve">Permanent priority placement in perpetuity for the initial 60-seller cohort per city. Founding status recorded on seller profile and never expires. Functions as a launch incentive without requiring ongoing payment. Founding seller badge persists regardless of subscription tier changes.</w:t>
            </w:r>
          </w:p>
          <w:p>
            <w:pPr>
              <w:spacing w:before="80"/>
            </w:pPr>
            <w:r>
              <w:rPr>
                <w:rFonts w:ascii="Arial" w:cs="Arial" w:eastAsia="Arial" w:hAnsi="Arial"/>
                <w:i/>
                <w:iCs/>
                <w:sz w:val="20"/>
                <w:szCs w:val="20"/>
              </w:rPr>
              <w:t xml:space="preserve">Novelty: Permanent non-expiring founding priority as a platform launch mechanism is not implemented in known prior art.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sz w:val="24"/>
                <w:szCs w:val="24"/>
              </w:rPr>
              <w:t xml:space="preserve">Claim 7: Combination Claim + AI Services Layer   </w:t>
            </w:r>
            <w:r>
              <w:rPr>
                <w:rFonts w:ascii="Arial" w:cs="Arial" w:eastAsia="Arial" w:hAnsi="Arial"/>
                <w:b/>
                <w:bCs/>
                <w:color w:val="2E7D32"/>
                <w:sz w:val="20"/>
                <w:szCs w:val="20"/>
              </w:rPr>
              <w:t xml:space="preserve">[STRONG]</w:t>
            </w:r>
          </w:p>
          <w:p>
            <w:pPr>
              <w:spacing w:before="80"/>
            </w:pPr>
            <w:r>
              <w:rPr>
                <w:rFonts w:ascii="Arial" w:cs="Arial" w:eastAsia="Arial" w:hAnsi="Arial"/>
                <w:sz w:val="20"/>
                <w:szCs w:val="20"/>
              </w:rPr>
              <w:t xml:space="preserve">Claims 1–6 operating as an integrated platform, extended by: (a) Subscription Tier Architecture — five tiers ($0 Free / $12 Standard / $20 Professional / $40 Business / $100 Elite), each with a BEA-enforced listing slot limit (2/10/25/60/500). Slot enforcement at publish time, server-side. Downgrades queued to end-of-billing-period. Tuppence per-introduction cost architecturally separate from slot pricing. (b) AI Services Layer — 10 AI-powered services (AI1–AI10) gated by Tuppence micro-payment (1–3T per service). Services span listing rewrite, seller audit, buyer price check, yield calculator, vision-AI batch listing creation, portfolio import, financial statement, and monthly performance report. (c) AI Guardrail Architecture — existence gate (indexed DB lookup confirming registered email before any Anthropic API call; unknown email → HTTP 401; ~0.1ms, zero UX impact); non-blocking spend register (ai_spend_log table + ai_spend_config singleton; income-linked threshold alert via webhook; max once per day; never auto-throttles users). The combination of all elements is non-obvious even where individual elements may not be.</w:t>
            </w:r>
          </w:p>
          <w:p>
            <w:pPr>
              <w:spacing w:before="80"/>
            </w:pPr>
            <w:r>
              <w:rPr>
                <w:rFonts w:ascii="Arial" w:cs="Arial" w:eastAsia="Arial" w:hAnsi="Arial"/>
                <w:i/>
                <w:iCs/>
                <w:sz w:val="20"/>
                <w:szCs w:val="20"/>
              </w:rPr>
              <w:t xml:space="preserve">Novelty: The combination of commitment-gated anonymous introduction + slot-based subscription tiers + Tuppence-gated AI services + existence-gated API guardrails + spend-linked threshold alerting is not implemented in any known prior art platform.</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Claim 8: Heritage Content Linking (dependent on Claim 1)   </w:t>
            </w:r>
            <w:r>
              <w:rPr>
                <w:rFonts w:ascii="Arial" w:cs="Arial" w:eastAsia="Arial" w:hAnsi="Arial"/>
                <w:b/>
                <w:bCs/>
                <w:color w:val="F57F17"/>
                <w:sz w:val="20"/>
                <w:szCs w:val="20"/>
              </w:rPr>
              <w:t xml:space="preserve">[SOLID]</w:t>
            </w:r>
          </w:p>
          <w:p>
            <w:pPr>
              <w:spacing w:before="80"/>
            </w:pPr>
            <w:r>
              <w:rPr>
                <w:rFonts w:ascii="Arial" w:cs="Arial" w:eastAsia="Arial" w:hAnsi="Arial"/>
                <w:sz w:val="20"/>
                <w:szCs w:val="20"/>
              </w:rPr>
              <w:t xml:space="preserve">Seller-linked UNESCO/heritage site metadata integrated into listing context. 120 UNESCO and national heritage sites stored in structured content layer (id, name, type, country, region, photo, description, history, coordinates). Sellers may link up to 5 heritage sites to a listing. Heritage detail displayed to buyers in listing context as non-transactional informational overlay. All photos sourced from Wikimedia Commons (CC/PD). Heritage layer does not trigger additional regulatory obligations.</w:t>
            </w:r>
          </w:p>
          <w:p>
            <w:pPr>
              <w:spacing w:before="80"/>
            </w:pPr>
            <w:r>
              <w:rPr>
                <w:rFonts w:ascii="Arial" w:cs="Arial" w:eastAsia="Arial" w:hAnsi="Arial"/>
                <w:i/>
                <w:iCs/>
                <w:sz w:val="20"/>
                <w:szCs w:val="20"/>
              </w:rPr>
              <w:t xml:space="preserve">Novelty: Integration of structured UNESCO/heritage site content as seller-linked listing context in an anonymous marketplace is not implemented in any known prior art.</w:t>
            </w:r>
          </w:p>
        </w:tc>
      </w:tr>
    </w:tbl>
    <w:p>
      <w:r>
        <w:t xml:space="preserve"/>
      </w:r>
    </w:p>
    <w:p>
      <w:pPr>
        <w:pStyle w:val="Heading1"/>
      </w:pPr>
      <w:r>
        <w:rPr>
          <w:rFonts w:ascii="Arial" w:cs="Arial" w:eastAsia="Arial" w:hAnsi="Arial"/>
          <w:b/>
          <w:bCs/>
          <w:sz w:val="32"/>
          <w:szCs w:val="32"/>
        </w:rPr>
        <w:t xml:space="preserve">4. Dependent Claim — Investment Property Self-Funding Filter</w:t>
      </w:r>
    </w:p>
    <w:p>
      <w:pPr>
        <w:pStyle w:val="Heading2"/>
      </w:pPr>
      <w:r>
        <w:rPr>
          <w:rFonts w:ascii="Arial" w:cs="Arial" w:eastAsia="Arial" w:hAnsi="Arial"/>
          <w:b/>
          <w:bCs/>
          <w:sz w:val="26"/>
          <w:szCs w:val="26"/>
        </w:rPr>
        <w:t xml:space="preserve">4.1 Background</w:t>
      </w:r>
    </w:p>
    <w:p>
      <w:pPr>
        <w:spacing w:after="120"/>
      </w:pPr>
      <w:r>
        <w:rPr>
          <w:rFonts w:ascii="Arial" w:cs="Arial" w:eastAsia="Arial" w:hAnsi="Arial"/>
          <w:sz w:val="22"/>
          <w:szCs w:val="22"/>
        </w:rPr>
        <w:t xml:space="preserve">Investment property buyers operating under a self-funding criterion — where rental income must cover bond repayments from the date of acquisition — currently have no platform-level tool to pre-filter listings against this criterion.</w:t>
      </w:r>
    </w:p>
    <w:p>
      <w:pPr>
        <w:pStyle w:val="Heading2"/>
      </w:pPr>
      <w:r>
        <w:rPr>
          <w:rFonts w:ascii="Arial" w:cs="Arial" w:eastAsia="Arial" w:hAnsi="Arial"/>
          <w:b/>
          <w:bCs/>
          <w:sz w:val="26"/>
          <w:szCs w:val="26"/>
        </w:rPr>
        <w:t xml:space="preserve">4.2 Claim Language</w:t>
      </w:r>
    </w:p>
    <w:p>
      <w:pPr>
        <w:pStyle w:val="ListParagraph"/>
        <w:numPr>
          <w:ilvl w:val="0"/>
          <w:numId w:val="2"/>
        </w:numPr>
        <w:spacing w:after="80"/>
      </w:pPr>
      <w:r>
        <w:rPr>
          <w:rFonts w:ascii="Arial" w:cs="Arial" w:eastAsia="Arial" w:hAnsi="Arial"/>
          <w:sz w:val="22"/>
          <w:szCs w:val="22"/>
        </w:rPr>
        <w:t xml:space="preserve">Seller-declared yield inputs: seller enters optional monthly rental income alongside asking price; platform computes gross yield; stored as derived field; displayed as badge on listing card and detail view</w:t>
      </w:r>
    </w:p>
    <w:p>
      <w:pPr>
        <w:pStyle w:val="ListParagraph"/>
        <w:numPr>
          <w:ilvl w:val="0"/>
          <w:numId w:val="2"/>
        </w:numPr>
        <w:spacing w:after="80"/>
      </w:pPr>
      <w:r>
        <w:rPr>
          <w:rFonts w:ascii="Arial" w:cs="Arial" w:eastAsia="Arial" w:hAnsi="Arial"/>
          <w:sz w:val="22"/>
          <w:szCs w:val="22"/>
        </w:rPr>
        <w:t xml:space="preserve">Live bond repayment benchmark: platform maintains configurable prime lending rate; computes theoretical monthly bond repayment at standard amortisation (default 20 years at prime+1); recomputed automatically when rate updates</w:t>
      </w:r>
    </w:p>
    <w:p>
      <w:pPr>
        <w:pStyle w:val="ListParagraph"/>
        <w:numPr>
          <w:ilvl w:val="0"/>
          <w:numId w:val="2"/>
        </w:numPr>
        <w:spacing w:after="80"/>
      </w:pPr>
      <w:r>
        <w:rPr>
          <w:rFonts w:ascii="Arial" w:cs="Arial" w:eastAsia="Arial" w:hAnsi="Arial"/>
          <w:sz w:val="22"/>
          <w:szCs w:val="22"/>
        </w:rPr>
        <w:t xml:space="preserve">Self-funding classification: listing classified as self-funding where declared monthly rental income &gt;= computed bond repayment; stored as derived boolean; updated automatically when prime rate changes</w:t>
      </w:r>
    </w:p>
    <w:p>
      <w:pPr>
        <w:pStyle w:val="ListParagraph"/>
        <w:numPr>
          <w:ilvl w:val="0"/>
          <w:numId w:val="2"/>
        </w:numPr>
        <w:spacing w:after="80"/>
      </w:pPr>
      <w:r>
        <w:rPr>
          <w:rFonts w:ascii="Arial" w:cs="Arial" w:eastAsia="Arial" w:hAnsi="Arial"/>
          <w:sz w:val="22"/>
          <w:szCs w:val="22"/>
        </w:rPr>
        <w:t xml:space="preserve">Buyer-facing pre-qualification filter: single-action browse filter surfaces only self-funding listings; buyer requires no knowledge of prime rate, bond term, or yield formula</w:t>
      </w:r>
    </w:p>
    <w:p>
      <w:pPr>
        <w:spacing w:after="120"/>
      </w:pPr>
      <w:r>
        <w:rPr>
          <w:rFonts w:ascii="Arial" w:cs="Arial" w:eastAsia="Arial" w:hAnsi="Arial"/>
          <w:sz w:val="22"/>
          <w:szCs w:val="22"/>
        </w:rPr>
        <w:t xml:space="preserve">Dependency: this is a dependent claim on Claim 2. A buyer activating the self-funding filter who proceeds to request an introduction does so through the same Tuppence-gated anonymous introduction mechanism.</w:t>
      </w:r>
    </w:p>
    <w:p>
      <w:r>
        <w:t xml:space="preserve"/>
      </w:r>
    </w:p>
    <w:p>
      <w:pPr>
        <w:pStyle w:val="Heading1"/>
      </w:pPr>
      <w:r>
        <w:rPr>
          <w:rFonts w:ascii="Arial" w:cs="Arial" w:eastAsia="Arial" w:hAnsi="Arial"/>
          <w:b/>
          <w:bCs/>
          <w:sz w:val="32"/>
          <w:szCs w:val="32"/>
        </w:rPr>
        <w:t xml:space="preserve">5. Future Claim — Bank Pre-Authorisation Hold</w:t>
      </w:r>
    </w:p>
    <w:p>
      <w:pPr>
        <w:spacing w:after="120"/>
      </w:pPr>
      <w:r>
        <w:rPr>
          <w:rFonts w:ascii="Arial" w:cs="Arial" w:eastAsia="Arial" w:hAnsi="Arial"/>
          <w:sz w:val="22"/>
          <w:szCs w:val="22"/>
        </w:rPr>
        <w:t xml:space="preserve">For ultra-high-value listings (private aircraft, superyachts, game reserves, large commercial properties), the primary risk is active spoofing and fraudulent introduction requests. A bank pre-authorisation hold (not a charge) would be released on introduction decline or listing withdrawal. This claim is not yet implemented and is documented for prior art anchoring only.</w:t>
      </w:r>
    </w:p>
    <w:p>
      <w:r>
        <w:t xml:space="preserve"/>
      </w:r>
    </w:p>
    <w:p>
      <w:pPr>
        <w:pStyle w:val="Heading1"/>
      </w:pPr>
      <w:r>
        <w:rPr>
          <w:rFonts w:ascii="Arial" w:cs="Arial" w:eastAsia="Arial" w:hAnsi="Arial"/>
          <w:b/>
          <w:bCs/>
          <w:sz w:val="32"/>
          <w:szCs w:val="32"/>
        </w:rPr>
        <w:t xml:space="preserve">6. Key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Banks Act 94 of 1990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NO RISK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Tuppence is non-refundable under any circumstance. Confirmed via Erratum 2026-05-12. No deposit element engaged. Closed-loop service credit satisfies SARB interpretive practice on all limbs.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8"/>
                <w:szCs w:val="18"/>
              </w:rPr>
              <w:t xml:space="preserve">Section 25(2) SA Patents Act</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8"/>
                <w:szCs w:val="18"/>
              </w:rPr>
              <w:t xml:space="preserve">MODERATE</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Business method exclusion applies 'as such'. Claims are technically framed around DB schema, protocol, and algorithm — not abstract business method. Pre-filing consultation (2026-05-12) recommends Claim 1 redraft to emphasise technical authorisation mechanism rather than database normalisation.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USPTO § 101 / Alice</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8"/>
                <w:szCs w:val="18"/>
              </w:rPr>
              <w:t xml:space="preserve">MODERATE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1 vulnerable as drafted. Redraft recommended to add technical implementation detail. Claims 2–7 are stronger. PCT ISR (EPO) will be the real test.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8"/>
                <w:szCs w:val="18"/>
              </w:rPr>
              <w:t xml:space="preserve">FAIS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NO RISK</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Platform is introduction intermediary only; no financial advice; no transaction conclusion; no client funds held beyond closed-loop Tuppence credit.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POPIA</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F57F17"/>
                <w:sz w:val="18"/>
                <w:szCs w:val="18"/>
              </w:rPr>
              <w:t xml:space="preserve">LOW</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Magic link email collection constitutes prior consent. Counsel to confirm timing. Data minimisation maintained (no PII transmitted until bilateral consent).</w:t>
            </w:r>
          </w:p>
        </w:tc>
      </w:tr>
    </w:tbl>
    <w:p>
      <w:r>
        <w:t xml:space="preserve"/>
      </w:r>
    </w:p>
    <w:p>
      <w:pPr>
        <w:pStyle w:val="Heading1"/>
      </w:pPr>
      <w:r>
        <w:rPr>
          <w:rFonts w:ascii="Arial" w:cs="Arial" w:eastAsia="Arial" w:hAnsi="Arial"/>
          <w:b/>
          <w:bCs/>
          <w:sz w:val="32"/>
          <w:szCs w:val="32"/>
        </w:rPr>
        <w:t xml:space="preserve">7. Immediate Actions for Counsel</w:t>
      </w:r>
    </w:p>
    <w:p>
      <w:pPr>
        <w:pStyle w:val="ListParagraph"/>
        <w:numPr>
          <w:ilvl w:val="0"/>
          <w:numId w:val="2"/>
        </w:numPr>
        <w:spacing w:after="80"/>
      </w:pPr>
      <w:r>
        <w:rPr>
          <w:rFonts w:ascii="Arial" w:cs="Arial" w:eastAsia="Arial" w:hAnsi="Arial"/>
          <w:sz w:val="22"/>
          <w:szCs w:val="22"/>
        </w:rPr>
        <w:t xml:space="preserve">Redraft Claim 1 to emphasise technical authorisation mechanism (not DB normalisation) — see Pre-Filing Consultation 2026-05-12 Section 2</w:t>
      </w:r>
    </w:p>
    <w:p>
      <w:pPr>
        <w:pStyle w:val="ListParagraph"/>
        <w:numPr>
          <w:ilvl w:val="0"/>
          <w:numId w:val="2"/>
        </w:numPr>
        <w:spacing w:after="80"/>
      </w:pPr>
      <w:r>
        <w:rPr>
          <w:rFonts w:ascii="Arial" w:cs="Arial" w:eastAsia="Arial" w:hAnsi="Arial"/>
          <w:sz w:val="22"/>
          <w:szCs w:val="22"/>
        </w:rPr>
        <w:t xml:space="preserve">Review Claim 7 combination language for new elements: 5-tier subscription slot enforcement, AI services Tuppence gate, existence gate guardrail architecture</w:t>
      </w:r>
    </w:p>
    <w:p>
      <w:pPr>
        <w:pStyle w:val="ListParagraph"/>
        <w:numPr>
          <w:ilvl w:val="0"/>
          <w:numId w:val="2"/>
        </w:numPr>
        <w:spacing w:after="80"/>
      </w:pPr>
      <w:r>
        <w:rPr>
          <w:rFonts w:ascii="Arial" w:cs="Arial" w:eastAsia="Arial" w:hAnsi="Arial"/>
          <w:sz w:val="22"/>
          <w:szCs w:val="22"/>
        </w:rPr>
        <w:t xml:space="preserve">Confirm Banks Act position per Erratum 2026-05-12 — supersedes Section 5.3 of original memorandum</w:t>
      </w:r>
    </w:p>
    <w:p>
      <w:pPr>
        <w:pStyle w:val="ListParagraph"/>
        <w:numPr>
          <w:ilvl w:val="0"/>
          <w:numId w:val="2"/>
        </w:numPr>
        <w:spacing w:after="80"/>
      </w:pPr>
      <w:r>
        <w:rPr>
          <w:rFonts w:ascii="Arial" w:cs="Arial" w:eastAsia="Arial" w:hAnsi="Arial"/>
          <w:sz w:val="22"/>
          <w:szCs w:val="22"/>
        </w:rPr>
        <w:t xml:space="preserve">Confirm POPIA consent timing on magic link flow (Section 6.6)</w:t>
      </w:r>
    </w:p>
    <w:p>
      <w:pPr>
        <w:pStyle w:val="ListParagraph"/>
        <w:numPr>
          <w:ilvl w:val="0"/>
          <w:numId w:val="2"/>
        </w:numPr>
        <w:spacing w:after="80"/>
      </w:pPr>
      <w:r>
        <w:rPr>
          <w:rFonts w:ascii="Arial" w:cs="Arial" w:eastAsia="Arial" w:hAnsi="Arial"/>
          <w:sz w:val="22"/>
          <w:szCs w:val="22"/>
        </w:rPr>
        <w:t xml:space="preserve">File SA Provisional Patent (iponline.cipc.co.za) before public launch — 8 claims</w:t>
      </w:r>
    </w:p>
    <w:p>
      <w:pPr>
        <w:pStyle w:val="ListParagraph"/>
        <w:numPr>
          <w:ilvl w:val="0"/>
          <w:numId w:val="2"/>
        </w:numPr>
        <w:spacing w:after="80"/>
      </w:pPr>
      <w:r>
        <w:rPr>
          <w:rFonts w:ascii="Arial" w:cs="Arial" w:eastAsia="Arial" w:hAnsi="Arial"/>
          <w:sz w:val="22"/>
          <w:szCs w:val="22"/>
        </w:rPr>
        <w:t xml:space="preserve">File SA Trademark Classes 35, 36, 42 same day as provisional</w:t>
      </w:r>
    </w:p>
    <w:p>
      <w:pPr>
        <w:pStyle w:val="ListParagraph"/>
        <w:numPr>
          <w:ilvl w:val="0"/>
          <w:numId w:val="2"/>
        </w:numPr>
        <w:spacing w:after="80"/>
      </w:pPr>
      <w:r>
        <w:rPr>
          <w:rFonts w:ascii="Arial" w:cs="Arial" w:eastAsia="Arial" w:hAnsi="Arial"/>
          <w:sz w:val="22"/>
          <w:szCs w:val="22"/>
        </w:rPr>
        <w:t xml:space="preserve">Advise on PCT via CIPC vs. direct WIPO filing (budget constraint: SA small entity)</w:t>
      </w:r>
    </w:p>
    <w:p>
      <w:r>
        <w:t xml:space="preserve"/>
      </w:r>
    </w:p>
    <w:p>
      <w:pPr>
        <w:pBdr>
          <w:top w:val="single" w:color="CCCCCC" w:sz="4" w:space="8"/>
        </w:pBdr>
        <w:spacing w:before="400"/>
        <w:jc w:val="center"/>
      </w:pPr>
      <w:r>
        <w:rPr>
          <w:rFonts w:ascii="Arial" w:cs="Arial" w:eastAsia="Arial" w:hAnsi="Arial"/>
          <w:color w:val="808080"/>
          <w:sz w:val="18"/>
          <w:szCs w:val="18"/>
        </w:rPr>
        <w:t xml:space="preserve">TrustSquare (Pty) Ltd  |  Reg 2026/340128/07  |  Director: David Maurice Conradie</w:t>
      </w:r>
    </w:p>
    <w:p>
      <w:pPr>
        <w:jc w:val="center"/>
      </w:pPr>
      <w:r>
        <w:rPr>
          <w:rFonts w:ascii="Arial" w:cs="Arial" w:eastAsia="Arial" w:hAnsi="Arial"/>
          <w:color w:val="C00000"/>
          <w:sz w:val="18"/>
          <w:szCs w:val="18"/>
        </w:rPr>
        <w:t xml:space="preserve">PRIVILEGED AND CONFIDENTIAL — ATTORNEY-CLIENT MATERIAL — Not for distribution beyond named counsel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08080"/>
        <w:sz w:val="18"/>
        <w:szCs w:val="18"/>
      </w:rPr>
      <w:t xml:space="preserve">TrustSquare  —  IP Brief v3  |  PRIVILEGED AND CONFIDENTIAL  |  Attorney-Client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2026-05-29T00:32:09.488Z</dcterms:created>
  <dcterms:modified xsi:type="dcterms:W3CDTF">2026-05-29T00:32:09.488Z</dcterms:modified>
</cp:coreProperties>
</file>

<file path=docProps/custom.xml><?xml version="1.0" encoding="utf-8"?>
<Properties xmlns="http://schemas.openxmlformats.org/officeDocument/2006/custom-properties" xmlns:vt="http://schemas.openxmlformats.org/officeDocument/2006/docPropsVTypes"/>
</file>