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864"/>
          <w:sz w:val="52"/>
          <w:szCs w:val="52"/>
        </w:rPr>
        <w:t xml:space="preserve">TrustSquare (Pty) Ltd</w:t>
      </w:r>
    </w:p>
    <w:p>
      <w:pPr>
        <w:spacing w:after="80"/>
        <w:jc w:val="center"/>
      </w:pPr>
      <w:r>
        <w:rPr>
          <w:rFonts w:ascii="Arial" w:cs="Arial" w:eastAsia="Arial" w:hAnsi="Arial"/>
          <w:b/>
          <w:bCs/>
          <w:color w:val="2E75B6"/>
          <w:sz w:val="30"/>
          <w:szCs w:val="30"/>
        </w:rPr>
        <w:t xml:space="preserve">IP Protection &amp; Patent Strategy</w:t>
      </w:r>
    </w:p>
    <w:p>
      <w:pPr>
        <w:spacing w:after="80"/>
        <w:jc w:val="center"/>
      </w:pPr>
      <w:r>
        <w:rPr>
          <w:rFonts w:ascii="Arial" w:cs="Arial" w:eastAsia="Arial" w:hAnsi="Arial"/>
          <w:color w:val="606060"/>
          <w:sz w:val="22"/>
          <w:szCs w:val="22"/>
        </w:rPr>
        <w:t xml:space="preserve">Internal Reference Document  |  Version 2.0  |  May 2026</w:t>
      </w:r>
    </w:p>
    <w:p>
      <w:pPr>
        <w:spacing w:after="400"/>
        <w:jc w:val="center"/>
      </w:pPr>
      <w:r>
        <w:rPr>
          <w:rFonts w:ascii="Arial" w:cs="Arial" w:eastAsia="Arial" w:hAnsi="Arial"/>
          <w:color w:val="808080"/>
          <w:sz w:val="20"/>
          <w:szCs w:val="20"/>
        </w:rPr>
        <w:t xml:space="preserve">Reg. No: 2026/340128/07  |  CIPC Registered 29 April 2026  |  Director: David Maurice Conradie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2E75B6" w:sz="12"/>
              <w:bottom w:val="single" w:color="CCCCCC" w:sz="1"/>
              <w:right w:val="single" w:color="CCCCCC" w:sz="1"/>
            </w:tcBorders>
            <w:shd w:fill="EBF3FB" w:val="clear"/>
            <w:tcMar>
              <w:top w:type="dxa" w:w="100"/>
              <w:left w:type="dxa" w:w="200"/>
              <w:bottom w:type="dxa" w:w="100"/>
              <w:right w:type="dxa" w:w="160"/>
            </w:tcMar>
          </w:tcPr>
          <w:p>
            <w:r>
              <w:rPr>
                <w:rFonts w:ascii="Arial" w:cs="Arial" w:eastAsia="Arial" w:hAnsi="Arial"/>
                <w:b/>
                <w:bCs/>
                <w:color w:val="2E75B6"/>
                <w:sz w:val="22"/>
                <w:szCs w:val="22"/>
              </w:rPr>
              <w:t xml:space="preserve">Version History</w:t>
            </w:r>
          </w:p>
          <w:p>
            <w:r>
              <w:rPr>
                <w:rFonts w:ascii="Arial" w:cs="Arial" w:eastAsia="Arial" w:hAnsi="Arial"/>
                <w:sz w:val="20"/>
                <w:szCs w:val="20"/>
              </w:rPr>
              <w:t xml:space="preserve">v1.0 (May 2026): Initial 7-claim strategy  |  v2.0 (May 2026): Updated for 8 claims, subscription tier redesign, AI Services layer (10 services), AI guardrail architecture (existence gate + spend register). Claim 7 (Combination Claim) significantly expanded to encompass new technical elements.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00000" w:sz="12"/>
              <w:bottom w:val="single" w:color="CCCCCC" w:sz="1"/>
              <w:right w:val="single" w:color="CCCCCC" w:sz="1"/>
            </w:tcBorders>
            <w:shd w:fill="FFF3F3" w:val="clear"/>
            <w:tcMar>
              <w:top w:type="dxa" w:w="100"/>
              <w:left w:type="dxa" w:w="200"/>
              <w:bottom w:type="dxa" w:w="100"/>
              <w:right w:type="dxa" w:w="160"/>
            </w:tcMar>
          </w:tcPr>
          <w:p>
            <w:r>
              <w:rPr>
                <w:rFonts w:ascii="Arial" w:cs="Arial" w:eastAsia="Arial" w:hAnsi="Arial"/>
                <w:color w:val="C00000"/>
                <w:sz w:val="20"/>
                <w:szCs w:val="20"/>
              </w:rPr>
              <w:t xml:space="preserve">⚠ CRITICAL: PUBLISH BEFORE FILING = LOSS OF PATENT RIGHTS
Publishing the whitepaper or disclosing the platform publicly before filing a provisional patent may permanently destroy international patent rights. South Africa provides a 6-month grace period for the inventor's own disclosures, but the USA, EU, and most major jurisdictions are either strict or have limited grace periods.
The five timestamp authorities in the whitepaper establish a prior art date — they do NOT replace formal patent filing.
✓ Correct sequence: File provisional patent first → File trademark → THEN publish whitepaper publicly.</w:t>
            </w:r>
          </w:p>
        </w:tc>
      </w:tr>
    </w:tbl>
    <w:p>
      <w:r>
        <w:t xml:space="preserve"/>
      </w:r>
    </w:p>
    <w:p>
      <w:pPr>
        <w:pStyle w:val="Heading1"/>
      </w:pPr>
      <w:r>
        <w:rPr>
          <w:rFonts w:ascii="Arial" w:cs="Arial" w:eastAsia="Arial" w:hAnsi="Arial"/>
          <w:b/>
          <w:bCs/>
          <w:sz w:val="32"/>
          <w:szCs w:val="32"/>
        </w:rPr>
        <w:t xml:space="preserve">1. Filing Sequence &amp; Steps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 1</w:t>
            </w:r>
          </w:p>
          <w:p>
            <w:pPr>
              <w:jc w:val="center"/>
            </w:pPr>
            <w:r>
              <w:rPr>
                <w:rFonts w:ascii="Arial" w:cs="Arial" w:eastAsia="Arial" w:hAnsi="Arial"/>
                <w:color w:val="A0C4FF"/>
                <w:sz w:val="18"/>
                <w:szCs w:val="18"/>
              </w:rPr>
              <w:t xml:space="preserve">Before Day 0</w:t>
            </w:r>
          </w:p>
        </w:tc>
        <w:tc>
          <w:tcPr>
            <w:tcW w:type="dxa" w:w="7826"/>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sz w:val="22"/>
                <w:szCs w:val="22"/>
              </w:rPr>
              <w:t xml:space="preserve">SA Provisional Patent (Immediate Action)</w:t>
            </w:r>
          </w:p>
          <w:p>
            <w:pPr>
              <w:pStyle w:val="ListParagraph"/>
              <w:numPr>
                <w:ilvl w:val="0"/>
                <w:numId w:val="2"/>
              </w:numPr>
              <w:spacing w:after="60"/>
            </w:pPr>
            <w:r>
              <w:rPr>
                <w:rFonts w:ascii="Arial" w:cs="Arial" w:eastAsia="Arial" w:hAnsi="Arial"/>
                <w:sz w:val="20"/>
                <w:szCs w:val="20"/>
              </w:rPr>
              <w:t xml:space="preserve">File via iponline.cipc.co.za on or before the public launch date (Day 0)</w:t>
            </w:r>
          </w:p>
          <w:p>
            <w:pPr>
              <w:pStyle w:val="ListParagraph"/>
              <w:numPr>
                <w:ilvl w:val="0"/>
                <w:numId w:val="2"/>
              </w:numPr>
              <w:spacing w:after="60"/>
            </w:pPr>
            <w:r>
              <w:rPr>
                <w:rFonts w:ascii="Arial" w:cs="Arial" w:eastAsia="Arial" w:hAnsi="Arial"/>
                <w:sz w:val="20"/>
                <w:szCs w:val="20"/>
              </w:rPr>
              <w:t xml:space="preserve">Locks the priority date; gives 12 months to prepare the full application</w:t>
            </w:r>
          </w:p>
          <w:p>
            <w:pPr>
              <w:pStyle w:val="ListParagraph"/>
              <w:numPr>
                <w:ilvl w:val="0"/>
                <w:numId w:val="2"/>
              </w:numPr>
              <w:spacing w:after="60"/>
            </w:pPr>
            <w:r>
              <w:rPr>
                <w:rFonts w:ascii="Arial" w:cs="Arial" w:eastAsia="Arial" w:hAnsi="Arial"/>
                <w:sz w:val="20"/>
                <w:szCs w:val="20"/>
              </w:rPr>
              <w:t xml:space="preserve">Receipt of filing is immediate and constitutes dated proof</w:t>
            </w:r>
          </w:p>
          <w:p>
            <w:pPr>
              <w:pStyle w:val="ListParagraph"/>
              <w:numPr>
                <w:ilvl w:val="0"/>
                <w:numId w:val="2"/>
              </w:numPr>
              <w:spacing w:after="60"/>
            </w:pPr>
            <w:r>
              <w:rPr>
                <w:rFonts w:ascii="Arial" w:cs="Arial" w:eastAsia="Arial" w:hAnsi="Arial"/>
                <w:sz w:val="20"/>
                <w:szCs w:val="20"/>
              </w:rPr>
              <w:t xml:space="preserve">8 claims to be protected (see Section 2)</w:t>
            </w:r>
          </w:p>
          <w:p>
            <w:pPr>
              <w:pStyle w:val="ListParagraph"/>
              <w:numPr>
                <w:ilvl w:val="0"/>
                <w:numId w:val="2"/>
              </w:numPr>
              <w:spacing w:after="60"/>
            </w:pPr>
            <w:r>
              <w:rPr>
                <w:rFonts w:ascii="Arial" w:cs="Arial" w:eastAsia="Arial" w:hAnsi="Arial"/>
                <w:sz w:val="20"/>
                <w:szCs w:val="20"/>
              </w:rPr>
              <w:t xml:space="preserve">Pre-filing consultation and erratum (May 2026) available for instructed attorney review</w:t>
            </w:r>
          </w:p>
          <w:p>
            <w:pPr>
              <w:pStyle w:val="ListParagraph"/>
              <w:numPr>
                <w:ilvl w:val="0"/>
                <w:numId w:val="2"/>
              </w:numPr>
              <w:spacing w:after="60"/>
            </w:pPr>
            <w:r>
              <w:rPr>
                <w:rFonts w:ascii="Arial" w:cs="Arial" w:eastAsia="Arial" w:hAnsi="Arial"/>
                <w:sz w:val="20"/>
                <w:szCs w:val="20"/>
              </w:rPr>
              <w:t xml:space="preserve">IMPORTANT: Engage patent attorney before filing — poorly drafted provisional loses international rights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 2</w:t>
            </w:r>
          </w:p>
          <w:p>
            <w:pPr>
              <w:jc w:val="center"/>
            </w:pPr>
            <w:r>
              <w:rPr>
                <w:rFonts w:ascii="Arial" w:cs="Arial" w:eastAsia="Arial" w:hAnsi="Arial"/>
                <w:color w:val="A0C4FF"/>
                <w:sz w:val="18"/>
                <w:szCs w:val="18"/>
              </w:rPr>
              <w:t xml:space="preserve">Day 0</w:t>
            </w:r>
          </w:p>
        </w:tc>
        <w:tc>
          <w:tcPr>
            <w:tcW w:type="dxa" w:w="7826"/>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sz w:val="22"/>
                <w:szCs w:val="22"/>
              </w:rPr>
              <w:t xml:space="preserve">SA Trademark (Same Day as Provisional)</w:t>
            </w:r>
          </w:p>
          <w:p>
            <w:pPr>
              <w:pStyle w:val="ListParagraph"/>
              <w:numPr>
                <w:ilvl w:val="0"/>
                <w:numId w:val="2"/>
              </w:numPr>
              <w:spacing w:after="60"/>
            </w:pPr>
            <w:r>
              <w:rPr>
                <w:rFonts w:ascii="Arial" w:cs="Arial" w:eastAsia="Arial" w:hAnsi="Arial"/>
                <w:sz w:val="20"/>
                <w:szCs w:val="20"/>
              </w:rPr>
              <w:t xml:space="preserve">File via iponline.cipc.co.za under three Nice Classifications:</w:t>
            </w:r>
          </w:p>
          <w:p>
            <w:pPr>
              <w:pStyle w:val="ListParagraph"/>
              <w:numPr>
                <w:ilvl w:val="0"/>
                <w:numId w:val="2"/>
              </w:numPr>
              <w:spacing w:after="60"/>
            </w:pPr>
            <w:r>
              <w:rPr>
                <w:rFonts w:ascii="Arial" w:cs="Arial" w:eastAsia="Arial" w:hAnsi="Arial"/>
                <w:sz w:val="20"/>
                <w:szCs w:val="20"/>
              </w:rPr>
              <w:t xml:space="preserve">Class 35 — Advertising, business management, online marketplace services</w:t>
            </w:r>
          </w:p>
          <w:p>
            <w:pPr>
              <w:pStyle w:val="ListParagraph"/>
              <w:numPr>
                <w:ilvl w:val="0"/>
                <w:numId w:val="2"/>
              </w:numPr>
              <w:spacing w:after="60"/>
            </w:pPr>
            <w:r>
              <w:rPr>
                <w:rFonts w:ascii="Arial" w:cs="Arial" w:eastAsia="Arial" w:hAnsi="Arial"/>
                <w:sz w:val="20"/>
                <w:szCs w:val="20"/>
              </w:rPr>
              <w:t xml:space="preserve">Class 36 — Financial services, electronic payment, digital currency exchange</w:t>
            </w:r>
          </w:p>
          <w:p>
            <w:pPr>
              <w:pStyle w:val="ListParagraph"/>
              <w:numPr>
                <w:ilvl w:val="0"/>
                <w:numId w:val="2"/>
              </w:numPr>
              <w:spacing w:after="60"/>
            </w:pPr>
            <w:r>
              <w:rPr>
                <w:rFonts w:ascii="Arial" w:cs="Arial" w:eastAsia="Arial" w:hAnsi="Arial"/>
                <w:sz w:val="20"/>
                <w:szCs w:val="20"/>
              </w:rPr>
              <w:t xml:space="preserve">Class 42 — Software as a service, platform as a service, technology services</w:t>
            </w:r>
          </w:p>
          <w:p>
            <w:pPr>
              <w:pStyle w:val="ListParagraph"/>
              <w:numPr>
                <w:ilvl w:val="0"/>
                <w:numId w:val="2"/>
              </w:numPr>
              <w:spacing w:after="60"/>
            </w:pPr>
            <w:r>
              <w:rPr>
                <w:rFonts w:ascii="Arial" w:cs="Arial" w:eastAsia="Arial" w:hAnsi="Arial"/>
                <w:sz w:val="20"/>
                <w:szCs w:val="20"/>
              </w:rPr>
              <w:t xml:space="preserve">SA trademark registration: 18–36 months but protection runs from filing date</w:t>
            </w:r>
          </w:p>
          <w:p>
            <w:pPr>
              <w:pStyle w:val="ListParagraph"/>
              <w:numPr>
                <w:ilvl w:val="0"/>
                <w:numId w:val="2"/>
              </w:numPr>
              <w:spacing w:after="60"/>
            </w:pPr>
            <w:r>
              <w:rPr>
                <w:rFonts w:ascii="Arial" w:cs="Arial" w:eastAsia="Arial" w:hAnsi="Arial"/>
                <w:sz w:val="20"/>
                <w:szCs w:val="20"/>
              </w:rPr>
              <w:t xml:space="preserve">Madrid Protocol filing for international coverage within 12 months of SA filing</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 3</w:t>
            </w:r>
          </w:p>
          <w:p>
            <w:pPr>
              <w:jc w:val="center"/>
            </w:pPr>
            <w:r>
              <w:rPr>
                <w:rFonts w:ascii="Arial" w:cs="Arial" w:eastAsia="Arial" w:hAnsi="Arial"/>
                <w:color w:val="A0C4FF"/>
                <w:sz w:val="18"/>
                <w:szCs w:val="18"/>
              </w:rPr>
              <w:t xml:space="preserve">Month 11 (target: April 2027)</w:t>
            </w:r>
          </w:p>
        </w:tc>
        <w:tc>
          <w:tcPr>
            <w:tcW w:type="dxa" w:w="7826"/>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sz w:val="22"/>
                <w:szCs w:val="22"/>
              </w:rPr>
              <w:t xml:space="preserve">PCT International Patent Application</w:t>
            </w:r>
          </w:p>
          <w:p>
            <w:pPr>
              <w:pStyle w:val="ListParagraph"/>
              <w:numPr>
                <w:ilvl w:val="0"/>
                <w:numId w:val="2"/>
              </w:numPr>
              <w:spacing w:after="60"/>
            </w:pPr>
            <w:r>
              <w:rPr>
                <w:rFonts w:ascii="Arial" w:cs="Arial" w:eastAsia="Arial" w:hAnsi="Arial"/>
                <w:sz w:val="20"/>
                <w:szCs w:val="20"/>
              </w:rPr>
              <w:t xml:space="preserve">File PCT via WIPO no later than Month 11 from provisional date</w:t>
            </w:r>
          </w:p>
          <w:p>
            <w:pPr>
              <w:pStyle w:val="ListParagraph"/>
              <w:numPr>
                <w:ilvl w:val="0"/>
                <w:numId w:val="2"/>
              </w:numPr>
              <w:spacing w:after="60"/>
            </w:pPr>
            <w:r>
              <w:rPr>
                <w:rFonts w:ascii="Arial" w:cs="Arial" w:eastAsia="Arial" w:hAnsi="Arial"/>
                <w:sz w:val="20"/>
                <w:szCs w:val="20"/>
              </w:rPr>
              <w:t xml:space="preserve">Extends international priority date protection</w:t>
            </w:r>
          </w:p>
          <w:p>
            <w:pPr>
              <w:pStyle w:val="ListParagraph"/>
              <w:numPr>
                <w:ilvl w:val="0"/>
                <w:numId w:val="2"/>
              </w:numPr>
              <w:spacing w:after="60"/>
            </w:pPr>
            <w:r>
              <w:rPr>
                <w:rFonts w:ascii="Arial" w:cs="Arial" w:eastAsia="Arial" w:hAnsi="Arial"/>
                <w:sz w:val="20"/>
                <w:szCs w:val="20"/>
              </w:rPr>
              <w:t xml:space="preserve">Gives up to 30 months from provisional filing to elect national phase countries</w:t>
            </w:r>
          </w:p>
          <w:p>
            <w:pPr>
              <w:pStyle w:val="ListParagraph"/>
              <w:numPr>
                <w:ilvl w:val="0"/>
                <w:numId w:val="2"/>
              </w:numPr>
              <w:spacing w:after="60"/>
            </w:pPr>
            <w:r>
              <w:rPr>
                <w:rFonts w:ascii="Arial" w:cs="Arial" w:eastAsia="Arial" w:hAnsi="Arial"/>
                <w:sz w:val="20"/>
                <w:szCs w:val="20"/>
              </w:rPr>
              <w:t xml:space="preserve">International Search Report (ISR) received ~6 months after PCT filing — critical intelligence</w:t>
            </w:r>
          </w:p>
          <w:p>
            <w:pPr>
              <w:pStyle w:val="ListParagraph"/>
              <w:numPr>
                <w:ilvl w:val="0"/>
                <w:numId w:val="2"/>
              </w:numPr>
              <w:spacing w:after="60"/>
            </w:pPr>
            <w:r>
              <w:rPr>
                <w:rFonts w:ascii="Arial" w:cs="Arial" w:eastAsia="Arial" w:hAnsi="Arial"/>
                <w:sz w:val="20"/>
                <w:szCs w:val="20"/>
              </w:rPr>
              <w:t xml:space="preserve">Confirm with attorney: file PCT via CIPC (cheaper) or direct WIPO filing</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Step 4</w:t>
            </w:r>
          </w:p>
          <w:p>
            <w:pPr>
              <w:jc w:val="center"/>
            </w:pPr>
            <w:r>
              <w:rPr>
                <w:rFonts w:ascii="Arial" w:cs="Arial" w:eastAsia="Arial" w:hAnsi="Arial"/>
                <w:color w:val="A0C4FF"/>
                <w:sz w:val="18"/>
                <w:szCs w:val="18"/>
              </w:rPr>
              <w:t xml:space="preserve">By Month 30 (target: October 2028)</w:t>
            </w:r>
          </w:p>
        </w:tc>
        <w:tc>
          <w:tcPr>
            <w:tcW w:type="dxa" w:w="7826"/>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sz w:val="22"/>
                <w:szCs w:val="22"/>
              </w:rPr>
              <w:t xml:space="preserve">National Phase Entries</w:t>
            </w:r>
          </w:p>
          <w:p>
            <w:pPr>
              <w:pStyle w:val="ListParagraph"/>
              <w:numPr>
                <w:ilvl w:val="0"/>
                <w:numId w:val="2"/>
              </w:numPr>
              <w:spacing w:after="60"/>
            </w:pPr>
            <w:r>
              <w:rPr>
                <w:rFonts w:ascii="Arial" w:cs="Arial" w:eastAsia="Arial" w:hAnsi="Arial"/>
                <w:sz w:val="20"/>
                <w:szCs w:val="20"/>
              </w:rPr>
              <w:t xml:space="preserve">Recommended priority: South Africa (home market, required), USA (largest single market), EU via EPO (38 countries), UK (separate from EPO post-Brexit), Kenya / Nigeria (African expansion pathway)</w:t>
            </w:r>
          </w:p>
          <w:p>
            <w:pPr>
              <w:pStyle w:val="ListParagraph"/>
              <w:numPr>
                <w:ilvl w:val="0"/>
                <w:numId w:val="2"/>
              </w:numPr>
              <w:spacing w:after="60"/>
            </w:pPr>
            <w:r>
              <w:rPr>
                <w:rFonts w:ascii="Arial" w:cs="Arial" w:eastAsia="Arial" w:hAnsi="Arial"/>
                <w:sz w:val="20"/>
                <w:szCs w:val="20"/>
              </w:rPr>
              <w:t xml:space="preserve">Small entity applicants may qualify for 60% reduction on WIPO PCT filing fees — confirm eligibility with attorney</w:t>
            </w:r>
          </w:p>
        </w:tc>
      </w:tr>
    </w:tbl>
    <w:p>
      <w:r>
        <w:t xml:space="preserve"/>
      </w:r>
    </w:p>
    <w:p>
      <w:pPr>
        <w:pStyle w:val="Heading1"/>
      </w:pPr>
      <w:r>
        <w:rPr>
          <w:rFonts w:ascii="Arial" w:cs="Arial" w:eastAsia="Arial" w:hAnsi="Arial"/>
          <w:b/>
          <w:bCs/>
          <w:sz w:val="32"/>
          <w:szCs w:val="32"/>
        </w:rPr>
        <w:t xml:space="preserve">2. The 8 Patent Claims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3926"/>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9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v2.0 Change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Participation Model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STRONG</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 from v1. Pre-filing memo recommends Claim 1 redraft to emphasise technical authorisation mechanism (not DB normalisation). Action for counsel.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Tuppence Introduction Currency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STRONG</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Banks Act NO RISK confirmed (Erratum 2026-05-12). No further change needed.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 Introduction Protocol</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STRONG</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 from v1. Combination gate + bilateral simultaneous disclosure remains core novel element.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 Score Composite</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18"/>
                <w:szCs w:val="18"/>
              </w:rPr>
              <w:t xml:space="preserve">SOLID</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 from v1. Penalty mechanism (A8: no Tuppence deducted as penalty) noted in claim language.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Geo-Hierarchical Visibility Gating</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18"/>
                <w:szCs w:val="18"/>
              </w:rPr>
              <w:t xml:space="preserve">SOLID</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 from v1. Updated: 5-tier subscription now maps to geo visibility tiers.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Founding Seller Cohort</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18"/>
                <w:szCs w:val="18"/>
              </w:rPr>
              <w:t xml:space="preserve">SOLID</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Unchanged from v1.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Combination Claim (EXPANDED)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STRONG</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MAJOR UPDATE v2.0: Now encompasses 5-tier subscription slot enforcement, AI Services Layer (10 services, Tuppence-gated), AI Guardrail Architecture (existence gate + spend register). Consult attorney on whether to file AI layer as sub-claims or new Claim 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Heritage Content Linking (dep. on Claim 1)</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18"/>
                <w:szCs w:val="18"/>
              </w:rPr>
              <w:t xml:space="preserve">SOLID</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Added in v1.1. Unchanged. 120 UNESCO/heritage sites. Seller-linked listing context. Awaiting counsel review.</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F57F17" w:sz="12"/>
              <w:bottom w:val="single" w:color="CCCCCC" w:sz="1"/>
              <w:right w:val="single" w:color="CCCCCC" w:sz="1"/>
            </w:tcBorders>
            <w:shd w:fill="FFF8E1" w:val="clear"/>
            <w:tcMar>
              <w:top w:type="dxa" w:w="100"/>
              <w:left w:type="dxa" w:w="200"/>
              <w:bottom w:type="dxa" w:w="100"/>
              <w:right w:type="dxa" w:w="160"/>
            </w:tcMar>
          </w:tcPr>
          <w:p>
            <w:r>
              <w:rPr>
                <w:rFonts w:ascii="Arial" w:cs="Arial" w:eastAsia="Arial" w:hAnsi="Arial"/>
                <w:b/>
                <w:bCs/>
                <w:color w:val="F57F17"/>
                <w:sz w:val="22"/>
                <w:szCs w:val="22"/>
              </w:rPr>
              <w:t xml:space="preserve">Attorney Action Required — Claim 7 Structure Decision</w:t>
            </w:r>
          </w:p>
          <w:p>
            <w:r>
              <w:rPr>
                <w:rFonts w:ascii="Arial" w:cs="Arial" w:eastAsia="Arial" w:hAnsi="Arial"/>
                <w:sz w:val="20"/>
                <w:szCs w:val="20"/>
              </w:rPr>
              <w:t xml:space="preserve">The AI Services Layer and AI Guardrail Architecture added in Sessions 73–90 are substantial new technical elements. Patent counsel must advise whether these should be: (A) included within the expanded Claim 7 Combination Claim as currently structured; (B) filed as a new independent Claim 9 (AI-Gated Marketplace Services); or (C) both. The existence gate (indexed DB lookup as pre-condition to any AI API call) is particularly strong as a technical implementation claim under the 'manner of manufacture' test.</w:t>
            </w:r>
          </w:p>
        </w:tc>
      </w:tr>
    </w:tbl>
    <w:p>
      <w:r>
        <w:t xml:space="preserve"/>
      </w:r>
    </w:p>
    <w:p>
      <w:pPr>
        <w:pStyle w:val="Heading1"/>
      </w:pPr>
      <w:r>
        <w:rPr>
          <w:rFonts w:ascii="Arial" w:cs="Arial" w:eastAsia="Arial" w:hAnsi="Arial"/>
          <w:b/>
          <w:bCs/>
          <w:sz w:val="32"/>
          <w:szCs w:val="32"/>
        </w:rPr>
        <w:t xml:space="preserve">3. New Patentable Elements (Sessions 73–90)</w:t>
      </w:r>
    </w:p>
    <w:p>
      <w:pPr>
        <w:pStyle w:val="Heading2"/>
      </w:pPr>
      <w:r>
        <w:rPr>
          <w:rFonts w:ascii="Arial" w:cs="Arial" w:eastAsia="Arial" w:hAnsi="Arial"/>
          <w:b/>
          <w:bCs/>
          <w:sz w:val="26"/>
          <w:szCs w:val="26"/>
        </w:rPr>
        <w:t xml:space="preserve">3.1 AI Services Layer</w:t>
      </w:r>
    </w:p>
    <w:p>
      <w:pPr>
        <w:spacing w:after="120"/>
      </w:pPr>
      <w:r>
        <w:rPr>
          <w:rFonts w:ascii="Arial" w:cs="Arial" w:eastAsia="Arial" w:hAnsi="Arial"/>
          <w:sz w:val="22"/>
          <w:szCs w:val="22"/>
        </w:rPr>
        <w:t xml:space="preserve">10 AI-powered services gated by Tuppence micro-payment (1–3T per service). Services: AI Listing Rewrite (AI1), Seller Audit (AI2), Buyer Price Check (AI3), Yield Calculator (AI4), Batch Card Listings via Vision AI (AI5), Batch Coin Listings via Vision AI (AI6), Estate Agent Portfolio Import (AI7), Activity Log (AI8, free), Financial Statement (AI9), Monthly Performance Report (AI10).</w:t>
      </w:r>
    </w:p>
    <w:p>
      <w:pPr>
        <w:spacing w:after="120"/>
      </w:pPr>
      <w:r>
        <w:rPr>
          <w:rFonts w:ascii="Arial" w:cs="Arial" w:eastAsia="Arial" w:hAnsi="Arial"/>
          <w:sz w:val="22"/>
          <w:szCs w:val="22"/>
        </w:rPr>
        <w:t xml:space="preserve">The combination of non-refundable commitment currency (Tuppence) applied not just to introductions but also to AI service access within the same platform creates a novel dual-use commitment architecture not present in any known prior art.</w:t>
      </w:r>
    </w:p>
    <w:p>
      <w:pPr>
        <w:pStyle w:val="Heading2"/>
      </w:pPr>
      <w:r>
        <w:rPr>
          <w:rFonts w:ascii="Arial" w:cs="Arial" w:eastAsia="Arial" w:hAnsi="Arial"/>
          <w:b/>
          <w:bCs/>
          <w:sz w:val="26"/>
          <w:szCs w:val="26"/>
        </w:rPr>
        <w:t xml:space="preserve">3.2 AI Guardrail Architecture</w:t>
      </w:r>
    </w:p>
    <w:p>
      <w:pPr>
        <w:spacing w:after="120"/>
      </w:pPr>
      <w:r>
        <w:rPr>
          <w:rFonts w:ascii="Arial" w:cs="Arial" w:eastAsia="Arial" w:hAnsi="Arial"/>
          <w:sz w:val="22"/>
          <w:szCs w:val="22"/>
        </w:rPr>
        <w:t xml:space="preserve">Existence gate: an indexed database lookup confirming that the requesting email corresponds to a registered user is performed before any Anthropic API call. Unknown emails receive HTTP 401. Latency: ~0.1ms. Zero UX impact for registered users. This is a technical implementation claim — not an abstract business method.</w:t>
      </w:r>
    </w:p>
    <w:p>
      <w:pPr>
        <w:spacing w:after="120"/>
      </w:pPr>
      <w:r>
        <w:rPr>
          <w:rFonts w:ascii="Arial" w:cs="Arial" w:eastAsia="Arial" w:hAnsi="Arial"/>
          <w:sz w:val="22"/>
          <w:szCs w:val="22"/>
        </w:rPr>
        <w:t xml:space="preserve">Spend register: ai_spend_log table records every AI call. ai_spend_config singleton stores income threshold configuration. Non-blocking BackgroundTasks worker fires income-linked webhook alert when monthly AI spend exceeds configured percentage of platform income. Alert fires at most once per day. Never blocks or throttles user requests.</w:t>
      </w:r>
    </w:p>
    <w:p>
      <w:pPr>
        <w:spacing w:after="120"/>
      </w:pPr>
      <w:r>
        <w:rPr>
          <w:rFonts w:ascii="Arial" w:cs="Arial" w:eastAsia="Arial" w:hAnsi="Arial"/>
          <w:sz w:val="22"/>
          <w:szCs w:val="22"/>
        </w:rPr>
        <w:t xml:space="preserve">The combination of (a) existence-gated API access, (b) non-blocking spend logging, and (c) income-proportional threshold alerting as an integrated safety architecture for an AI-mediated marketplace is not implemented in known prior art.</w:t>
      </w:r>
    </w:p>
    <w:p>
      <w:pPr>
        <w:pStyle w:val="Heading2"/>
      </w:pPr>
      <w:r>
        <w:rPr>
          <w:rFonts w:ascii="Arial" w:cs="Arial" w:eastAsia="Arial" w:hAnsi="Arial"/>
          <w:b/>
          <w:bCs/>
          <w:sz w:val="26"/>
          <w:szCs w:val="26"/>
        </w:rPr>
        <w:t xml:space="preserve">3.3 Subscription Tier Slot Enforcement</w:t>
      </w:r>
    </w:p>
    <w:p>
      <w:pPr>
        <w:spacing w:after="120"/>
      </w:pPr>
      <w:r>
        <w:rPr>
          <w:rFonts w:ascii="Arial" w:cs="Arial" w:eastAsia="Arial" w:hAnsi="Arial"/>
          <w:sz w:val="22"/>
          <w:szCs w:val="22"/>
        </w:rPr>
        <w:t xml:space="preserve">Five-tier subscription model (Free $0/2 slots, Standard $12/10, Professional $20/25, Business $40/60, Elite $100/500). Slot limit is enforced server-side at publish time by the BEA. Downgrade requests are queued to end-of-billing-period and blocked if active listing count exceeds target tier limit. Tuppence per-introduction cost is architecturally separate from slot pricing — the two are never combined.</w:t>
      </w:r>
    </w:p>
    <w:p>
      <w:pPr>
        <w:spacing w:after="120"/>
      </w:pPr>
      <w:r>
        <w:rPr>
          <w:rFonts w:ascii="Arial" w:cs="Arial" w:eastAsia="Arial" w:hAnsi="Arial"/>
          <w:sz w:val="22"/>
          <w:szCs w:val="22"/>
        </w:rPr>
        <w:t xml:space="preserve">The architectural separation of listing slot access (subscription) from introduction commitment (Tuppence) in a single platform, with server-side enforcement at publish time, is a novel technical design element.</w:t>
      </w:r>
    </w:p>
    <w:p>
      <w:r>
        <w:t xml:space="preserve"/>
      </w:r>
    </w:p>
    <w:p>
      <w:pPr>
        <w:pStyle w:val="Heading1"/>
      </w:pPr>
      <w:r>
        <w:rPr>
          <w:rFonts w:ascii="Arial" w:cs="Arial" w:eastAsia="Arial" w:hAnsi="Arial"/>
          <w:b/>
          <w:bCs/>
          <w:sz w:val="32"/>
          <w:szCs w:val="32"/>
        </w:rPr>
        <w:t xml:space="preserve">4. Attorney Consultation (Priority Action)</w:t>
      </w:r>
    </w:p>
    <w:p>
      <w:pPr>
        <w:spacing w:after="120"/>
      </w:pPr>
      <w:r>
        <w:rPr>
          <w:rFonts w:ascii="Arial" w:cs="Arial" w:eastAsia="Arial" w:hAnsi="Arial"/>
          <w:sz w:val="22"/>
          <w:szCs w:val="22"/>
        </w:rPr>
        <w:t xml:space="preserve">Before filing, invest R3,000–R5,000 in a 90-minute consultation with a South African patent attorney specialising in software and platform IP.</w:t>
      </w:r>
    </w:p>
    <w:p>
      <w:pPr>
        <w:spacing w:after="120"/>
      </w:pPr>
      <w:r>
        <w:rPr>
          <w:rFonts w:ascii="Arial" w:cs="Arial" w:eastAsia="Arial" w:hAnsi="Arial"/>
          <w:sz w:val="22"/>
          <w:szCs w:val="22"/>
        </w:rPr>
        <w:t xml:space="preserve">Pre-filing consultation memorandum and erratum (May 2026) are available for instructed attorney review — these cover all 7 original claims against the manner of manufacture test, Banks Act, USPTO § 101/Alice, and EPO COMVIK doctrine. Attorney should also review the new elements described in Section 3 of this document (AI layer, guardrail architecture, slot enforcement).</w:t>
      </w:r>
    </w:p>
    <w:p>
      <w:pPr>
        <w:spacing w:after="120"/>
      </w:pPr>
      <w:r>
        <w:rPr>
          <w:rFonts w:ascii="Arial" w:cs="Arial" w:eastAsia="Arial" w:hAnsi="Arial"/>
          <w:sz w:val="22"/>
          <w:szCs w:val="22"/>
        </w:rPr>
        <w:t xml:space="preserve">Recommended firms:</w:t>
      </w:r>
    </w:p>
    <w:p>
      <w:pPr>
        <w:pStyle w:val="ListParagraph"/>
        <w:numPr>
          <w:ilvl w:val="0"/>
          <w:numId w:val="2"/>
        </w:numPr>
        <w:spacing w:after="80"/>
      </w:pPr>
      <w:r>
        <w:rPr>
          <w:rFonts w:ascii="Arial" w:cs="Arial" w:eastAsia="Arial" w:hAnsi="Arial"/>
          <w:sz w:val="22"/>
          <w:szCs w:val="22"/>
        </w:rPr>
        <w:t xml:space="preserve">Adams &amp; Adams — Pretoria (largest IP specialist firm in Africa)</w:t>
      </w:r>
    </w:p>
    <w:p>
      <w:pPr>
        <w:pStyle w:val="ListParagraph"/>
        <w:numPr>
          <w:ilvl w:val="0"/>
          <w:numId w:val="2"/>
        </w:numPr>
        <w:spacing w:after="80"/>
      </w:pPr>
      <w:r>
        <w:rPr>
          <w:rFonts w:ascii="Arial" w:cs="Arial" w:eastAsia="Arial" w:hAnsi="Arial"/>
          <w:sz w:val="22"/>
          <w:szCs w:val="22"/>
        </w:rPr>
        <w:t xml:space="preserve">Spoor &amp; Fisher — Pretoria</w:t>
      </w:r>
    </w:p>
    <w:p>
      <w:pPr>
        <w:pStyle w:val="ListParagraph"/>
        <w:numPr>
          <w:ilvl w:val="0"/>
          <w:numId w:val="2"/>
        </w:numPr>
        <w:spacing w:after="80"/>
      </w:pPr>
      <w:r>
        <w:rPr>
          <w:rFonts w:ascii="Arial" w:cs="Arial" w:eastAsia="Arial" w:hAnsi="Arial"/>
          <w:sz w:val="22"/>
          <w:szCs w:val="22"/>
        </w:rPr>
        <w:t xml:space="preserve">Bowmans — Johannesburg</w:t>
      </w:r>
    </w:p>
    <w:p>
      <w:r>
        <w:t xml:space="preserve"/>
      </w:r>
    </w:p>
    <w:p>
      <w:pPr>
        <w:pStyle w:val="Heading1"/>
      </w:pPr>
      <w:r>
        <w:rPr>
          <w:rFonts w:ascii="Arial" w:cs="Arial" w:eastAsia="Arial" w:hAnsi="Arial"/>
          <w:b/>
          <w:bCs/>
          <w:sz w:val="32"/>
          <w:szCs w:val="32"/>
        </w:rPr>
        <w:t xml:space="preserve">5. Current Asset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426"/>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Whitepaper v3.2</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Ready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 May 2026. 8 claims, subscription tier redesign, AI layer, guardrail architecture.</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IP Brief v3</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Ready</w:t>
            </w:r>
          </w:p>
        </w:tc>
        <w:tc>
          <w:tcPr>
            <w:tcW w:type="dxa" w:w="34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Updated May 2026. Full 8-claim language. Risk assessment. Counsel action items.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Pre-Filing Consultation Memo</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Ready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May 2026. Attorney-work-product format. Covers SA, PCT, USPTO, EPO.</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Pre-Filing Erratum</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Ready</w:t>
            </w:r>
          </w:p>
        </w:tc>
        <w:tc>
          <w:tcPr>
            <w:tcW w:type="dxa" w:w="34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May 2026. Supersedes Section 5.3 (Banks Act). Corrects Claim 2 language.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 Provisional Patent</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18"/>
                <w:szCs w:val="18"/>
              </w:rPr>
              <w:t xml:space="preserve">PENDING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before public launch. Use 8 claims from IP Brief v3.</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SA Trademark (Classes 35/36/42)</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18"/>
                <w:szCs w:val="18"/>
              </w:rPr>
              <w:t xml:space="preserve">PENDING</w:t>
            </w:r>
          </w:p>
        </w:tc>
        <w:tc>
          <w:tcPr>
            <w:tcW w:type="dxa" w:w="34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File same day as provisional.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CIPC Company Registration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Complete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 2026/340128/07. Registered 29 April 2026.</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trustsquare.co Domain</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Live</w:t>
            </w:r>
          </w:p>
        </w:tc>
        <w:tc>
          <w:tcPr>
            <w:tcW w:type="dxa" w:w="34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Cloudflare DNS. SSL active.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BEA v1.3.4</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Live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 SQLite. Hetzner CPX32. 56 live listings.</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Paystack Test Mode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Live</w:t>
            </w:r>
          </w:p>
        </w:tc>
        <w:tc>
          <w:tcPr>
            <w:tcW w:type="dxa" w:w="34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Live mode pending CIPC FSCA confirmation.</w:t>
            </w:r>
          </w:p>
        </w:tc>
      </w:tr>
    </w:tbl>
    <w:p>
      <w:r>
        <w:t xml:space="preserve"/>
      </w:r>
    </w:p>
    <w:p>
      <w:pPr>
        <w:pStyle w:val="Heading1"/>
      </w:pPr>
      <w:r>
        <w:rPr>
          <w:rFonts w:ascii="Arial" w:cs="Arial" w:eastAsia="Arial" w:hAnsi="Arial"/>
          <w:b/>
          <w:bCs/>
          <w:sz w:val="32"/>
          <w:szCs w:val="32"/>
        </w:rPr>
        <w:t xml:space="preserve">6. Immediate Next Actions (In Order)</w:t>
      </w:r>
    </w:p>
    <w:p>
      <w:pPr>
        <w:pStyle w:val="ListParagraph"/>
        <w:numPr>
          <w:ilvl w:val="0"/>
          <w:numId w:val="3"/>
        </w:numPr>
        <w:spacing w:after="80"/>
      </w:pPr>
      <w:r>
        <w:rPr>
          <w:rFonts w:ascii="Arial" w:cs="Arial" w:eastAsia="Arial" w:hAnsi="Arial"/>
          <w:sz w:val="22"/>
          <w:szCs w:val="22"/>
        </w:rPr>
        <w:t xml:space="preserve">Book attorney consultation — Adams &amp; Adams / Spoor &amp; Fisher / Bowmans — budget R3,000–R5,000. Bring IP Brief v3 and Pre-Filing Consultation Memo + Erratum.</w:t>
      </w:r>
    </w:p>
    <w:p>
      <w:pPr>
        <w:pStyle w:val="ListParagraph"/>
        <w:numPr>
          <w:ilvl w:val="0"/>
          <w:numId w:val="3"/>
        </w:numPr>
        <w:spacing w:after="80"/>
      </w:pPr>
      <w:r>
        <w:rPr>
          <w:rFonts w:ascii="Arial" w:cs="Arial" w:eastAsia="Arial" w:hAnsi="Arial"/>
          <w:sz w:val="22"/>
          <w:szCs w:val="22"/>
        </w:rPr>
        <w:t xml:space="preserve">Agree with attorney on Claim 7 structure: keep AI layer inside Combination Claim or file new Claim 9.</w:t>
      </w:r>
    </w:p>
    <w:p>
      <w:pPr>
        <w:pStyle w:val="ListParagraph"/>
        <w:numPr>
          <w:ilvl w:val="0"/>
          <w:numId w:val="3"/>
        </w:numPr>
        <w:spacing w:after="80"/>
      </w:pPr>
      <w:r>
        <w:rPr>
          <w:rFonts w:ascii="Arial" w:cs="Arial" w:eastAsia="Arial" w:hAnsi="Arial"/>
          <w:sz w:val="22"/>
          <w:szCs w:val="22"/>
        </w:rPr>
        <w:t xml:space="preserve">File SA Provisional Patent via iponline.cipc.co.za — 8 claims (or 9 if attorney advises) — before any public launch or disclosure.</w:t>
      </w:r>
    </w:p>
    <w:p>
      <w:pPr>
        <w:pStyle w:val="ListParagraph"/>
        <w:numPr>
          <w:ilvl w:val="0"/>
          <w:numId w:val="3"/>
        </w:numPr>
        <w:spacing w:after="80"/>
      </w:pPr>
      <w:r>
        <w:rPr>
          <w:rFonts w:ascii="Arial" w:cs="Arial" w:eastAsia="Arial" w:hAnsi="Arial"/>
          <w:sz w:val="22"/>
          <w:szCs w:val="22"/>
        </w:rPr>
        <w:t xml:space="preserve">File SA Trademark (Classes 35, 36, 42) via iponline.cipc.co.za — same day as provisional.</w:t>
      </w:r>
    </w:p>
    <w:p>
      <w:pPr>
        <w:pStyle w:val="ListParagraph"/>
        <w:numPr>
          <w:ilvl w:val="0"/>
          <w:numId w:val="3"/>
        </w:numPr>
        <w:spacing w:after="80"/>
      </w:pPr>
      <w:r>
        <w:rPr>
          <w:rFonts w:ascii="Arial" w:cs="Arial" w:eastAsia="Arial" w:hAnsi="Arial"/>
          <w:sz w:val="22"/>
          <w:szCs w:val="22"/>
        </w:rPr>
        <w:t xml:space="preserve">Hash Whitepaper v3.2 (SHA-256) and submit hash to OpenTimestamps — publish hash, not document.</w:t>
      </w:r>
    </w:p>
    <w:p>
      <w:pPr>
        <w:pStyle w:val="ListParagraph"/>
        <w:numPr>
          <w:ilvl w:val="0"/>
          <w:numId w:val="3"/>
        </w:numPr>
        <w:spacing w:after="80"/>
      </w:pPr>
      <w:r>
        <w:rPr>
          <w:rFonts w:ascii="Arial" w:cs="Arial" w:eastAsia="Arial" w:hAnsi="Arial"/>
          <w:sz w:val="22"/>
          <w:szCs w:val="22"/>
        </w:rPr>
        <w:t xml:space="preserve">Upload Whitepaper v3.2 to ip.com prior art database.</w:t>
      </w:r>
    </w:p>
    <w:p>
      <w:pPr>
        <w:pStyle w:val="ListParagraph"/>
        <w:numPr>
          <w:ilvl w:val="0"/>
          <w:numId w:val="3"/>
        </w:numPr>
        <w:spacing w:after="80"/>
      </w:pPr>
      <w:r>
        <w:rPr>
          <w:rFonts w:ascii="Arial" w:cs="Arial" w:eastAsia="Arial" w:hAnsi="Arial"/>
          <w:sz w:val="22"/>
          <w:szCs w:val="22"/>
        </w:rPr>
        <w:t xml:space="preserve">Submit trustsquare.co to archive.org/save (Internet Archive).</w:t>
      </w:r>
    </w:p>
    <w:p>
      <w:pPr>
        <w:pStyle w:val="ListParagraph"/>
        <w:numPr>
          <w:ilvl w:val="0"/>
          <w:numId w:val="3"/>
        </w:numPr>
        <w:spacing w:after="80"/>
      </w:pPr>
      <w:r>
        <w:rPr>
          <w:rFonts w:ascii="Arial" w:cs="Arial" w:eastAsia="Arial" w:hAnsi="Arial"/>
          <w:sz w:val="22"/>
          <w:szCs w:val="22"/>
        </w:rPr>
        <w:t xml:space="preserve">Publish whitepaper publicly — ONLY after all steps above are confirmed complete.</w:t>
      </w:r>
    </w:p>
    <w:p>
      <w:r>
        <w:t xml:space="preserve"/>
      </w:r>
    </w:p>
    <w:p>
      <w:pPr>
        <w:pBdr>
          <w:top w:val="single" w:color="CCCCCC" w:sz="4" w:space="8"/>
        </w:pBdr>
        <w:spacing w:before="400"/>
        <w:jc w:val="center"/>
      </w:pPr>
      <w:r>
        <w:rPr>
          <w:rFonts w:ascii="Arial" w:cs="Arial" w:eastAsia="Arial" w:hAnsi="Arial"/>
          <w:color w:val="808080"/>
          <w:sz w:val="18"/>
          <w:szCs w:val="18"/>
        </w:rPr>
        <w:t xml:space="preserve">TrustSquare (Pty) Ltd  |  Reg. 2026/340128/07  |  CONFIDENTIAL — Internal Strategy Document  |  v2.0  |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08080"/>
        <w:sz w:val="18"/>
        <w:szCs w:val="18"/>
      </w:rPr>
      <w:t xml:space="preserve">TrustSquare — IP Protection &amp; Patent Strategy v2.0  |  CONFIDENTIAL — Internal Strategy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2026-05-29T00:35:22.102Z</dcterms:created>
  <dcterms:modified xsi:type="dcterms:W3CDTF">2026-05-29T00:35:22.102Z</dcterms:modified>
</cp:coreProperties>
</file>

<file path=docProps/custom.xml><?xml version="1.0" encoding="utf-8"?>
<Properties xmlns="http://schemas.openxmlformats.org/officeDocument/2006/custom-properties" xmlns:vt="http://schemas.openxmlformats.org/officeDocument/2006/docPropsVTypes"/>
</file>