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200"/>
        <w:jc w:val="center"/>
      </w:pPr>
      <w:r>
        <w:rPr>
          <w:rFonts w:ascii="Arial" w:cs="Arial" w:eastAsia="Arial" w:hAnsi="Arial"/>
          <w:b/>
          <w:bCs/>
          <w:color w:val="C00000"/>
          <w:sz w:val="22"/>
          <w:szCs w:val="22"/>
        </w:rPr>
        <w:t xml:space="preserve">PRIVILEGED AND CONFIDENTIAL</w:t>
      </w:r>
    </w:p>
    <w:p>
      <w:pPr>
        <w:spacing w:after="720"/>
        <w:jc w:val="center"/>
      </w:pPr>
      <w:r>
        <w:rPr>
          <w:rFonts w:ascii="Arial" w:cs="Arial" w:eastAsia="Arial" w:hAnsi="Arial"/>
          <w:b/>
          <w:bCs/>
          <w:color w:val="C00000"/>
          <w:sz w:val="22"/>
          <w:szCs w:val="22"/>
        </w:rPr>
        <w:t xml:space="preserve">ATTORNEY WORK PRODUCT  —  PRE-FILING CONSULTATION DRAFT</w:t>
      </w:r>
    </w:p>
    <w:p>
      <w:pPr>
        <w:spacing w:after="240"/>
        <w:jc w:val="center"/>
      </w:pPr>
      <w:r>
        <w:rPr>
          <w:rFonts w:ascii="Arial" w:cs="Arial" w:eastAsia="Arial" w:hAnsi="Arial"/>
          <w:b/>
          <w:bCs/>
          <w:color w:val="1F3864"/>
          <w:sz w:val="48"/>
          <w:szCs w:val="48"/>
        </w:rPr>
        <w:t xml:space="preserve">MEMORANDUM</w:t>
      </w:r>
    </w:p>
    <w:p>
      <w:pPr>
        <w:spacing w:after="720"/>
        <w:jc w:val="center"/>
      </w:pPr>
      <w:r>
        <w:rPr>
          <w:rFonts w:ascii="Arial" w:cs="Arial" w:eastAsia="Arial" w:hAnsi="Arial"/>
          <w:b/>
          <w:bCs/>
          <w:color w:val="1F3864"/>
          <w:sz w:val="30"/>
          <w:szCs w:val="30"/>
        </w:rPr>
        <w:t xml:space="preserve">Pre-Filing IP Strategy Review — SA Provisional Patent Application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888888" w:sz="4"/>
              <w:left w:val="single" w:color="888888" w:sz="4"/>
              <w:bottom w:val="single" w:color="888888" w:sz="4"/>
              <w:right w:val="single" w:color="888888" w:sz="4"/>
            </w:tcBorders>
            <w:shd w:fill="EAF2F8" w:color="auto" w:val="clear"/>
            <w:tcMar>
              <w:top w:type="dxa" w:w="80"/>
              <w:left w:type="dxa" w:w="100"/>
              <w:bottom w:type="dxa" w:w="80"/>
              <w:right w:type="dxa" w:w="100"/>
            </w:tcMar>
            <w:vAlign w:val="top"/>
          </w:tcPr>
          <w:p>
            <w:pPr>
              <w:spacing w:after="0" w:line="260"/>
              <w:jc w:val="left"/>
            </w:pPr>
            <w:r>
              <w:rPr>
                <w:rFonts w:ascii="Arial" w:cs="Arial" w:eastAsia="Arial" w:hAnsi="Arial"/>
                <w:b/>
                <w:bCs/>
                <w:sz w:val="20"/>
                <w:szCs w:val="20"/>
              </w:rPr>
              <w:t xml:space="preserve">To:</w:t>
            </w:r>
          </w:p>
        </w:tc>
        <w:tc>
          <w:tcPr>
            <w:tcW w:type="dxa" w:w="6226"/>
            <w:tcBorders>
              <w:top w:val="single" w:color="888888" w:sz="4"/>
              <w:left w:val="single" w:color="888888" w:sz="4"/>
              <w:bottom w:val="single" w:color="888888" w:sz="4"/>
              <w:right w:val="single" w:color="888888" w:sz="4"/>
            </w:tcBorders>
            <w:tcMar>
              <w:top w:type="dxa" w:w="80"/>
              <w:left w:type="dxa" w:w="100"/>
              <w:bottom w:type="dxa" w:w="80"/>
              <w:right w:type="dxa" w:w="100"/>
            </w:tcMar>
            <w:vAlign w:val="top"/>
          </w:tcPr>
          <w:p>
            <w:pPr>
              <w:spacing w:after="0" w:line="260"/>
              <w:jc w:val="left"/>
            </w:pPr>
            <w:r>
              <w:rPr>
                <w:rFonts w:ascii="Arial" w:cs="Arial" w:eastAsia="Arial" w:hAnsi="Arial"/>
                <w:sz w:val="20"/>
                <w:szCs w:val="20"/>
              </w:rPr>
              <w:t xml:space="preserve">The Board, TrustSquare (Pty) Ltd  (Reg. 2026/340128/07)</w:t>
            </w:r>
          </w:p>
        </w:tc>
      </w:tr>
      <w:tr>
        <w:tc>
          <w:tcPr>
            <w:tcW w:type="dxa" w:w="2800"/>
            <w:tcBorders>
              <w:top w:val="single" w:color="888888" w:sz="4"/>
              <w:left w:val="single" w:color="888888" w:sz="4"/>
              <w:bottom w:val="single" w:color="888888" w:sz="4"/>
              <w:right w:val="single" w:color="888888" w:sz="4"/>
            </w:tcBorders>
            <w:shd w:fill="EAF2F8" w:color="auto" w:val="clear"/>
            <w:tcMar>
              <w:top w:type="dxa" w:w="80"/>
              <w:left w:type="dxa" w:w="100"/>
              <w:bottom w:type="dxa" w:w="80"/>
              <w:right w:type="dxa" w:w="100"/>
            </w:tcMar>
            <w:vAlign w:val="top"/>
          </w:tcPr>
          <w:p>
            <w:pPr>
              <w:spacing w:after="0" w:line="260"/>
              <w:jc w:val="left"/>
            </w:pPr>
            <w:r>
              <w:rPr>
                <w:rFonts w:ascii="Arial" w:cs="Arial" w:eastAsia="Arial" w:hAnsi="Arial"/>
                <w:b/>
                <w:bCs/>
                <w:sz w:val="20"/>
                <w:szCs w:val="20"/>
              </w:rPr>
              <w:t xml:space="preserve">Attention:</w:t>
            </w:r>
          </w:p>
        </w:tc>
        <w:tc>
          <w:tcPr>
            <w:tcW w:type="dxa" w:w="6226"/>
            <w:tcBorders>
              <w:top w:val="single" w:color="888888" w:sz="4"/>
              <w:left w:val="single" w:color="888888" w:sz="4"/>
              <w:bottom w:val="single" w:color="888888" w:sz="4"/>
              <w:right w:val="single" w:color="888888" w:sz="4"/>
            </w:tcBorders>
            <w:tcMar>
              <w:top w:type="dxa" w:w="80"/>
              <w:left w:type="dxa" w:w="100"/>
              <w:bottom w:type="dxa" w:w="80"/>
              <w:right w:type="dxa" w:w="100"/>
            </w:tcMar>
            <w:vAlign w:val="top"/>
          </w:tcPr>
          <w:p>
            <w:pPr>
              <w:spacing w:after="0" w:line="260"/>
              <w:jc w:val="left"/>
            </w:pPr>
            <w:r>
              <w:rPr>
                <w:rFonts w:ascii="Arial" w:cs="Arial" w:eastAsia="Arial" w:hAnsi="Arial"/>
                <w:sz w:val="20"/>
                <w:szCs w:val="20"/>
              </w:rPr>
              <w:t xml:space="preserve">Mr D. Murphy, Director</w:t>
            </w:r>
          </w:p>
        </w:tc>
      </w:tr>
      <w:tr>
        <w:tc>
          <w:tcPr>
            <w:tcW w:type="dxa" w:w="2800"/>
            <w:tcBorders>
              <w:top w:val="single" w:color="888888" w:sz="4"/>
              <w:left w:val="single" w:color="888888" w:sz="4"/>
              <w:bottom w:val="single" w:color="888888" w:sz="4"/>
              <w:right w:val="single" w:color="888888" w:sz="4"/>
            </w:tcBorders>
            <w:shd w:fill="EAF2F8" w:color="auto" w:val="clear"/>
            <w:tcMar>
              <w:top w:type="dxa" w:w="80"/>
              <w:left w:type="dxa" w:w="100"/>
              <w:bottom w:type="dxa" w:w="80"/>
              <w:right w:type="dxa" w:w="100"/>
            </w:tcMar>
            <w:vAlign w:val="top"/>
          </w:tcPr>
          <w:p>
            <w:pPr>
              <w:spacing w:after="0" w:line="260"/>
              <w:jc w:val="left"/>
            </w:pPr>
            <w:r>
              <w:rPr>
                <w:rFonts w:ascii="Arial" w:cs="Arial" w:eastAsia="Arial" w:hAnsi="Arial"/>
                <w:b/>
                <w:bCs/>
                <w:sz w:val="20"/>
                <w:szCs w:val="20"/>
              </w:rPr>
              <w:t xml:space="preserve">From:</w:t>
            </w:r>
          </w:p>
        </w:tc>
        <w:tc>
          <w:tcPr>
            <w:tcW w:type="dxa" w:w="6226"/>
            <w:tcBorders>
              <w:top w:val="single" w:color="888888" w:sz="4"/>
              <w:left w:val="single" w:color="888888" w:sz="4"/>
              <w:bottom w:val="single" w:color="888888" w:sz="4"/>
              <w:right w:val="single" w:color="888888" w:sz="4"/>
            </w:tcBorders>
            <w:tcMar>
              <w:top w:type="dxa" w:w="80"/>
              <w:left w:type="dxa" w:w="100"/>
              <w:bottom w:type="dxa" w:w="80"/>
              <w:right w:type="dxa" w:w="100"/>
            </w:tcMar>
            <w:vAlign w:val="top"/>
          </w:tcPr>
          <w:p>
            <w:pPr>
              <w:spacing w:after="0" w:line="260"/>
              <w:jc w:val="left"/>
            </w:pPr>
            <w:r>
              <w:rPr>
                <w:rFonts w:ascii="Arial" w:cs="Arial" w:eastAsia="Arial" w:hAnsi="Arial"/>
                <w:sz w:val="20"/>
                <w:szCs w:val="20"/>
              </w:rPr>
              <w:t xml:space="preserve">Senior Patent Counsel  —  SA Software &amp; Platform IP Practice</w:t>
            </w:r>
          </w:p>
        </w:tc>
      </w:tr>
      <w:tr>
        <w:tc>
          <w:tcPr>
            <w:tcW w:type="dxa" w:w="2800"/>
            <w:tcBorders>
              <w:top w:val="single" w:color="888888" w:sz="4"/>
              <w:left w:val="single" w:color="888888" w:sz="4"/>
              <w:bottom w:val="single" w:color="888888" w:sz="4"/>
              <w:right w:val="single" w:color="888888" w:sz="4"/>
            </w:tcBorders>
            <w:shd w:fill="EAF2F8" w:color="auto" w:val="clear"/>
            <w:tcMar>
              <w:top w:type="dxa" w:w="80"/>
              <w:left w:type="dxa" w:w="100"/>
              <w:bottom w:type="dxa" w:w="80"/>
              <w:right w:type="dxa" w:w="100"/>
            </w:tcMar>
            <w:vAlign w:val="top"/>
          </w:tcPr>
          <w:p>
            <w:pPr>
              <w:spacing w:after="0" w:line="260"/>
              <w:jc w:val="left"/>
            </w:pPr>
            <w:r>
              <w:rPr>
                <w:rFonts w:ascii="Arial" w:cs="Arial" w:eastAsia="Arial" w:hAnsi="Arial"/>
                <w:b/>
                <w:bCs/>
                <w:sz w:val="20"/>
                <w:szCs w:val="20"/>
              </w:rPr>
              <w:t xml:space="preserve">Date:</w:t>
            </w:r>
          </w:p>
        </w:tc>
        <w:tc>
          <w:tcPr>
            <w:tcW w:type="dxa" w:w="6226"/>
            <w:tcBorders>
              <w:top w:val="single" w:color="888888" w:sz="4"/>
              <w:left w:val="single" w:color="888888" w:sz="4"/>
              <w:bottom w:val="single" w:color="888888" w:sz="4"/>
              <w:right w:val="single" w:color="888888" w:sz="4"/>
            </w:tcBorders>
            <w:tcMar>
              <w:top w:type="dxa" w:w="80"/>
              <w:left w:type="dxa" w:w="100"/>
              <w:bottom w:type="dxa" w:w="80"/>
              <w:right w:type="dxa" w:w="100"/>
            </w:tcMar>
            <w:vAlign w:val="top"/>
          </w:tcPr>
          <w:p>
            <w:pPr>
              <w:spacing w:after="0" w:line="260"/>
              <w:jc w:val="left"/>
            </w:pPr>
            <w:r>
              <w:rPr>
                <w:rFonts w:ascii="Arial" w:cs="Arial" w:eastAsia="Arial" w:hAnsi="Arial"/>
                <w:sz w:val="20"/>
                <w:szCs w:val="20"/>
              </w:rPr>
              <w:t xml:space="preserve">12 May 2026</w:t>
            </w:r>
          </w:p>
        </w:tc>
      </w:tr>
      <w:tr>
        <w:tc>
          <w:tcPr>
            <w:tcW w:type="dxa" w:w="2800"/>
            <w:tcBorders>
              <w:top w:val="single" w:color="888888" w:sz="4"/>
              <w:left w:val="single" w:color="888888" w:sz="4"/>
              <w:bottom w:val="single" w:color="888888" w:sz="4"/>
              <w:right w:val="single" w:color="888888" w:sz="4"/>
            </w:tcBorders>
            <w:shd w:fill="EAF2F8" w:color="auto" w:val="clear"/>
            <w:tcMar>
              <w:top w:type="dxa" w:w="80"/>
              <w:left w:type="dxa" w:w="100"/>
              <w:bottom w:type="dxa" w:w="80"/>
              <w:right w:type="dxa" w:w="100"/>
            </w:tcMar>
            <w:vAlign w:val="top"/>
          </w:tcPr>
          <w:p>
            <w:pPr>
              <w:spacing w:after="0" w:line="260"/>
              <w:jc w:val="left"/>
            </w:pPr>
            <w:r>
              <w:rPr>
                <w:rFonts w:ascii="Arial" w:cs="Arial" w:eastAsia="Arial" w:hAnsi="Arial"/>
                <w:b/>
                <w:bCs/>
                <w:sz w:val="20"/>
                <w:szCs w:val="20"/>
              </w:rPr>
              <w:t xml:space="preserve">Subject:</w:t>
            </w:r>
          </w:p>
        </w:tc>
        <w:tc>
          <w:tcPr>
            <w:tcW w:type="dxa" w:w="6226"/>
            <w:tcBorders>
              <w:top w:val="single" w:color="888888" w:sz="4"/>
              <w:left w:val="single" w:color="888888" w:sz="4"/>
              <w:bottom w:val="single" w:color="888888" w:sz="4"/>
              <w:right w:val="single" w:color="888888" w:sz="4"/>
            </w:tcBorders>
            <w:tcMar>
              <w:top w:type="dxa" w:w="80"/>
              <w:left w:type="dxa" w:w="100"/>
              <w:bottom w:type="dxa" w:w="80"/>
              <w:right w:type="dxa" w:w="100"/>
            </w:tcMar>
            <w:vAlign w:val="top"/>
          </w:tcPr>
          <w:p>
            <w:pPr>
              <w:spacing w:after="0" w:line="260"/>
              <w:jc w:val="left"/>
            </w:pPr>
            <w:r>
              <w:rPr>
                <w:rFonts w:ascii="Arial" w:cs="Arial" w:eastAsia="Arial" w:hAnsi="Arial"/>
                <w:sz w:val="20"/>
                <w:szCs w:val="20"/>
              </w:rPr>
              <w:t xml:space="preserve">Pre-filing review of provisional patent, prior-art stress test, Tuppence regulatory exposure, PCT routing, and claim-language gap audit.</w:t>
            </w:r>
          </w:p>
        </w:tc>
      </w:tr>
      <w:tr>
        <w:tc>
          <w:tcPr>
            <w:tcW w:type="dxa" w:w="2800"/>
            <w:tcBorders>
              <w:top w:val="single" w:color="888888" w:sz="4"/>
              <w:left w:val="single" w:color="888888" w:sz="4"/>
              <w:bottom w:val="single" w:color="888888" w:sz="4"/>
              <w:right w:val="single" w:color="888888" w:sz="4"/>
            </w:tcBorders>
            <w:shd w:fill="EAF2F8" w:color="auto" w:val="clear"/>
            <w:tcMar>
              <w:top w:type="dxa" w:w="80"/>
              <w:left w:type="dxa" w:w="100"/>
              <w:bottom w:type="dxa" w:w="80"/>
              <w:right w:type="dxa" w:w="100"/>
            </w:tcMar>
            <w:vAlign w:val="top"/>
          </w:tcPr>
          <w:p>
            <w:pPr>
              <w:spacing w:after="0" w:line="260"/>
              <w:jc w:val="left"/>
            </w:pPr>
            <w:r>
              <w:rPr>
                <w:rFonts w:ascii="Arial" w:cs="Arial" w:eastAsia="Arial" w:hAnsi="Arial"/>
                <w:b/>
                <w:bCs/>
                <w:sz w:val="20"/>
                <w:szCs w:val="20"/>
              </w:rPr>
              <w:t xml:space="preserve">Documents reviewed:</w:t>
            </w:r>
          </w:p>
        </w:tc>
        <w:tc>
          <w:tcPr>
            <w:tcW w:type="dxa" w:w="6226"/>
            <w:tcBorders>
              <w:top w:val="single" w:color="888888" w:sz="4"/>
              <w:left w:val="single" w:color="888888" w:sz="4"/>
              <w:bottom w:val="single" w:color="888888" w:sz="4"/>
              <w:right w:val="single" w:color="888888" w:sz="4"/>
            </w:tcBorders>
            <w:tcMar>
              <w:top w:type="dxa" w:w="80"/>
              <w:left w:type="dxa" w:w="100"/>
              <w:bottom w:type="dxa" w:w="80"/>
              <w:right w:type="dxa" w:w="100"/>
            </w:tcMar>
            <w:vAlign w:val="top"/>
          </w:tcPr>
          <w:p>
            <w:pPr>
              <w:spacing w:after="0" w:line="260"/>
              <w:jc w:val="left"/>
            </w:pPr>
            <w:r>
              <w:rPr>
                <w:rFonts w:ascii="Arial" w:cs="Arial" w:eastAsia="Arial" w:hAnsi="Arial"/>
                <w:sz w:val="20"/>
                <w:szCs w:val="20"/>
              </w:rPr>
              <w:t xml:space="preserve">TrustSquare_WhitePaper_v3.docx (25 Apr 2026); TrustSquare_IP_Patent_Strategy_v1.docx (May 2026); CoR15.1A registration certificate (29 Apr 2026); current EULA draft v1.0.</w:t>
            </w:r>
          </w:p>
        </w:tc>
      </w:tr>
    </w:tbl>
    <w:p>
      <w:r>
        <w:br w:type="page"/>
      </w:r>
    </w:p>
    <w:p>
      <w:pPr>
        <w:pStyle w:val="Heading1"/>
        <w:spacing w:after="180" w:before="360"/>
      </w:pPr>
      <w:r>
        <w:rPr>
          <w:rFonts w:ascii="Arial" w:cs="Arial" w:eastAsia="Arial" w:hAnsi="Arial"/>
          <w:b/>
          <w:bCs/>
          <w:color w:val="1F3864"/>
          <w:sz w:val="32"/>
          <w:szCs w:val="32"/>
        </w:rPr>
        <w:t xml:space="preserve">1.  Scope, Methodology and Disclosures</w:t>
      </w:r>
    </w:p>
    <w:p>
      <w:pPr>
        <w:spacing w:after="120" w:before="0" w:line="300"/>
        <w:jc w:val="both"/>
      </w:pPr>
      <w:r>
        <w:rPr>
          <w:rFonts w:ascii="Arial" w:cs="Arial" w:eastAsia="Arial" w:hAnsi="Arial"/>
          <w:sz w:val="22"/>
          <w:szCs w:val="22"/>
        </w:rPr>
        <w:t xml:space="preserve">This memorandum is prepared in the capacity of a Senior South African patent attorney specialising in software and platform IP. It is intended as a pre-filing consultation deliverable to be handed to instructed attorneys (Adams &amp; Adams, Spoor &amp; Fisher, or equivalent) for action. It is not a final opinion on patentability and does not constitute formal patent prosecution advice. Final legal opinion must be issued by the instructed firm of record after attorney-client engagement is formalised.</w:t>
      </w:r>
    </w:p>
    <w:p>
      <w:pPr>
        <w:spacing w:after="120" w:before="0" w:line="300"/>
        <w:jc w:val="both"/>
      </w:pPr>
      <w:r>
        <w:rPr>
          <w:rFonts w:ascii="Arial" w:cs="Arial" w:eastAsia="Arial" w:hAnsi="Arial"/>
          <w:sz w:val="22"/>
          <w:szCs w:val="22"/>
        </w:rPr>
        <w:t xml:space="preserve">The analysis applies the following legal framework. The South African Patents Act 57 of 1978 (the "Act") and, in particular, section 25(1) (definition of an invention), section 25(2) (express exclusions including "a scheme, rule or method for performing a mental act, playing a game or doing business" and "a program for a computer"), and the "as such" qualifier in section 25(3). The seminal South African authority remains Gentiruco AG v Firestone SA (Pty) Ltd 1972 (1) SA 589 (A), establishing the "manner of manufacture" test (a vendible product resulting from human action that has utility in trade, industry or commerce).</w:t>
      </w:r>
    </w:p>
    <w:p>
      <w:pPr>
        <w:spacing w:after="120" w:before="0" w:line="300"/>
        <w:jc w:val="both"/>
      </w:pPr>
      <w:r>
        <w:rPr>
          <w:rFonts w:ascii="Arial" w:cs="Arial" w:eastAsia="Arial" w:hAnsi="Arial"/>
          <w:sz w:val="22"/>
          <w:szCs w:val="22"/>
        </w:rPr>
        <w:t xml:space="preserve">Material context: South Africa is a non-examining patent jurisdiction. CIPC grants patents on formal compliance only and does not perform substantive prior-art or inventive-step examination. The substantive examination of TrustSquare's claims will occur (a) at the International Searching Authority (ISA) during PCT (likely EPO if elected by the South African applicant), and (b) at each national-phase office (notably the USPTO under 35 USC § 101 / Alice v. CLS Bank, and the EPO under Art. 52 EPC and the COMVIK doctrine on technical character). The provisional filing is therefore an inexpensive priority-anchoring exercise; the real defensibility test is the ISR and Written Opinion that follow approximately six months after the PCT filing. This memorandum is calibrated to that downstream test, not to CIPC depository grant.</w:t>
      </w:r>
    </w:p>
    <w:p>
      <w:pPr>
        <w:spacing w:after="120" w:before="0" w:line="300"/>
        <w:jc w:val="both"/>
      </w:pPr>
      <w:r>
        <w:rPr>
          <w:rFonts w:ascii="Arial" w:cs="Arial" w:eastAsia="Arial" w:hAnsi="Arial"/>
          <w:sz w:val="22"/>
          <w:szCs w:val="22"/>
        </w:rPr>
        <w:t xml:space="preserve">All five tasks set in the engagement brief are addressed sequentially below. Each conclusion is supported by reasoning sufficient for the instructed attorney to verify and act upon.</w:t>
      </w:r>
    </w:p>
    <w:p>
      <w:pPr>
        <w:pStyle w:val="Heading1"/>
        <w:spacing w:after="180" w:before="360"/>
      </w:pPr>
      <w:r>
        <w:rPr>
          <w:rFonts w:ascii="Arial" w:cs="Arial" w:eastAsia="Arial" w:hAnsi="Arial"/>
          <w:b/>
          <w:bCs/>
          <w:color w:val="1F3864"/>
          <w:sz w:val="32"/>
          <w:szCs w:val="32"/>
        </w:rPr>
        <w:t xml:space="preserve">2.  Executive Summary</w:t>
      </w:r>
    </w:p>
    <w:p>
      <w:pPr>
        <w:spacing w:after="120" w:before="0" w:line="300"/>
        <w:jc w:val="both"/>
      </w:pPr>
      <w:r>
        <w:rPr>
          <w:rFonts w:ascii="Arial" w:cs="Arial" w:eastAsia="Arial" w:hAnsi="Arial"/>
          <w:sz w:val="22"/>
          <w:szCs w:val="22"/>
        </w:rPr>
        <w:t xml:space="preserve">TrustSquare's seven-claim provisional has a defensible core but contains two claims that are materially exposed and one claim that is structurally fragile under SA "manner of manufacture" doctrine. The strategy document's filing sequence is correct (provisional before publication); however, three substantive interventions are required before the provisional is lodged.</w:t>
      </w:r>
    </w:p>
    <w:p>
      <w:pPr>
        <w:pStyle w:val="Heading3"/>
        <w:spacing w:after="100" w:before="200"/>
      </w:pPr>
      <w:r>
        <w:rPr>
          <w:rFonts w:ascii="Arial" w:cs="Arial" w:eastAsia="Arial" w:hAnsi="Arial"/>
          <w:b/>
          <w:bCs/>
          <w:color w:val="2E74B5"/>
          <w:sz w:val="23"/>
          <w:szCs w:val="23"/>
        </w:rPr>
        <w:t xml:space="preserve">Headline findings</w:t>
      </w:r>
    </w:p>
    <w:p>
      <w:pPr>
        <w:pStyle w:val="ListParagraph"/>
        <w:numPr>
          <w:ilvl w:val="0"/>
          <w:numId w:val="2"/>
        </w:numPr>
        <w:spacing w:after="80" w:line="280"/>
      </w:pPr>
      <w:r>
        <w:rPr>
          <w:rFonts w:ascii="Arial" w:cs="Arial" w:eastAsia="Arial" w:hAnsi="Arial"/>
          <w:sz w:val="22"/>
          <w:szCs w:val="22"/>
        </w:rPr>
        <w:t xml:space="preserve">Claim 1 (Unified Participation Model) is the strongest "core" claim but is vulnerable to an obviousness attack as currently drafted because it is framed as a database normalisation choice rather than a technical authorisation mechanism. A redraft adding a runtime authorisation engine and presentation-layer conditioning (Section 5 of this memorandum) materially strengthens novelty and inventive step.</w:t>
      </w:r>
    </w:p>
    <w:p>
      <w:pPr>
        <w:pStyle w:val="ListParagraph"/>
        <w:numPr>
          <w:ilvl w:val="0"/>
          <w:numId w:val="2"/>
        </w:numPr>
        <w:spacing w:after="80" w:line="280"/>
      </w:pPr>
      <w:r>
        <w:rPr>
          <w:rFonts w:ascii="Arial" w:cs="Arial" w:eastAsia="Arial" w:hAnsi="Arial"/>
          <w:sz w:val="22"/>
          <w:szCs w:val="22"/>
        </w:rPr>
        <w:t xml:space="preserve">Claim 2 (Tuppence) is, in its current form, materially anticipated by Bark.com's lead-credit mechanism and Thumbtack's credits/quotes mechanism. The novelty argument must be repositioned onto (i) the direction of expenditure (buyer-side, not seller-side), (ii) the absence of any inter-user transfer endpoint, and (iii) the atomic restitution-on-decline logic. Section 5 contains a substantially redrafted Claim 2.</w:t>
      </w:r>
    </w:p>
    <w:p>
      <w:pPr>
        <w:pStyle w:val="ListParagraph"/>
        <w:numPr>
          <w:ilvl w:val="0"/>
          <w:numId w:val="2"/>
        </w:numPr>
        <w:spacing w:after="80" w:line="280"/>
      </w:pPr>
      <w:r>
        <w:rPr>
          <w:rFonts w:ascii="Arial" w:cs="Arial" w:eastAsia="Arial" w:hAnsi="Arial"/>
          <w:sz w:val="22"/>
          <w:szCs w:val="22"/>
        </w:rPr>
        <w:t xml:space="preserve">Claim 4 (Trust Score) is the weakest independent claim. Server-computed reputation scoring with no self-reporting is heavily prior-art-ed (eBay, Uber, Airbnb, Trustpilot, LinkedIn SSI). The claim should be narrowed and supplemented with a tamper-prevention sub-claim, or it should be demoted to a dependent claim under Claim 7.</w:t>
      </w:r>
    </w:p>
    <w:p>
      <w:pPr>
        <w:pStyle w:val="ListParagraph"/>
        <w:numPr>
          <w:ilvl w:val="0"/>
          <w:numId w:val="2"/>
        </w:numPr>
        <w:spacing w:after="80" w:line="280"/>
      </w:pPr>
      <w:r>
        <w:rPr>
          <w:rFonts w:ascii="Arial" w:cs="Arial" w:eastAsia="Arial" w:hAnsi="Arial"/>
          <w:sz w:val="22"/>
          <w:szCs w:val="22"/>
        </w:rPr>
        <w:t xml:space="preserve">Claim 6 (Founding Seller Cohort) is the highest-risk claim against section 25(2). A "permanent priority placement" rule is, in substance, a promotional business method implemented by an ORDER BY clause. Recommendation: demote to a dependent claim of Claim 5 or reframe as a cold-start ranking augmentation with explicit technical limitations.</w:t>
      </w:r>
    </w:p>
    <w:p>
      <w:pPr>
        <w:pStyle w:val="ListParagraph"/>
        <w:numPr>
          <w:ilvl w:val="0"/>
          <w:numId w:val="2"/>
        </w:numPr>
        <w:spacing w:after="80" w:line="280"/>
      </w:pPr>
      <w:r>
        <w:rPr>
          <w:rFonts w:ascii="Arial" w:cs="Arial" w:eastAsia="Arial" w:hAnsi="Arial"/>
          <w:sz w:val="22"/>
          <w:szCs w:val="22"/>
        </w:rPr>
        <w:t xml:space="preserve">Tuppence does not, on present design, fall within the Financial Markets Act 19 of 2012 or the National Payment System Act 78 of 1998. There is a residual but low-risk exposure under the Banks Act 94 of 1990 in respect of the partial-refund-on-decline mechanism, which should be addressed by EULA characterisation as a discretionary service-credit reissuance rather than a refund of money paid in.</w:t>
      </w:r>
    </w:p>
    <w:p>
      <w:pPr>
        <w:pStyle w:val="ListParagraph"/>
        <w:numPr>
          <w:ilvl w:val="0"/>
          <w:numId w:val="2"/>
        </w:numPr>
        <w:spacing w:after="80" w:line="280"/>
      </w:pPr>
      <w:r>
        <w:rPr>
          <w:rFonts w:ascii="Arial" w:cs="Arial" w:eastAsia="Arial" w:hAnsi="Arial"/>
          <w:sz w:val="22"/>
          <w:szCs w:val="22"/>
        </w:rPr>
        <w:t xml:space="preserve">PCT routing: file via CIPC as Receiving Office. The marginal cost-saving from a direct WIPO/IB filing is more than offset by the foreign-filing-licence friction created by section 23A of the Act and the regulations made thereunder. ISA election: European Patent Office.</w:t>
      </w:r>
    </w:p>
    <w:p>
      <w:pPr>
        <w:pStyle w:val="Heading3"/>
        <w:spacing w:after="100" w:before="200"/>
      </w:pPr>
      <w:r>
        <w:rPr>
          <w:rFonts w:ascii="Arial" w:cs="Arial" w:eastAsia="Arial" w:hAnsi="Arial"/>
          <w:b/>
          <w:bCs/>
          <w:color w:val="2E74B5"/>
          <w:sz w:val="23"/>
          <w:szCs w:val="23"/>
        </w:rPr>
        <w:t xml:space="preserve">Top three pre-filing priorities</w:t>
      </w:r>
    </w:p>
    <w:p>
      <w:pPr>
        <w:pStyle w:val="ListParagraph"/>
        <w:numPr>
          <w:ilvl w:val="0"/>
          <w:numId w:val="3"/>
        </w:numPr>
        <w:spacing w:after="80" w:line="280"/>
      </w:pPr>
      <w:r>
        <w:rPr>
          <w:rFonts w:ascii="Arial" w:cs="Arial" w:eastAsia="Arial" w:hAnsi="Arial"/>
          <w:sz w:val="22"/>
          <w:szCs w:val="22"/>
        </w:rPr>
        <w:t xml:space="preserve">Redraft Claims 1, 2, 4, and reframe (or demote) Claim 6, using the language proposed in Sections 4 and 8. This is a 3-5 day exercise for instructed counsel and should not delay filing.</w:t>
      </w:r>
    </w:p>
    <w:p>
      <w:pPr>
        <w:pStyle w:val="ListParagraph"/>
        <w:numPr>
          <w:ilvl w:val="0"/>
          <w:numId w:val="3"/>
        </w:numPr>
        <w:spacing w:after="80" w:line="280"/>
      </w:pPr>
      <w:r>
        <w:rPr>
          <w:rFonts w:ascii="Arial" w:cs="Arial" w:eastAsia="Arial" w:hAnsi="Arial"/>
          <w:sz w:val="22"/>
          <w:szCs w:val="22"/>
        </w:rPr>
        <w:t xml:space="preserve">Update the Tuppence-related provisions of the EULA (clauses on grant of access, refund discretion, non-transferability, expiry and accounting characterisation) before any user makes a paid Tuppence purchase.</w:t>
      </w:r>
    </w:p>
    <w:p>
      <w:pPr>
        <w:pStyle w:val="ListParagraph"/>
        <w:numPr>
          <w:ilvl w:val="0"/>
          <w:numId w:val="3"/>
        </w:numPr>
        <w:spacing w:after="80" w:line="280"/>
      </w:pPr>
      <w:r>
        <w:rPr>
          <w:rFonts w:ascii="Arial" w:cs="Arial" w:eastAsia="Arial" w:hAnsi="Arial"/>
          <w:sz w:val="22"/>
          <w:szCs w:val="22"/>
        </w:rPr>
        <w:t xml:space="preserve">File via CIPC as Receiving Office with EPO elected as ISA; instruct the priority-anchoring provisional to be filed before any public release of trustsquare.co, and before the 5-wave outreach campaign is executed.</w:t>
      </w:r>
    </w:p>
    <w:p>
      <w:r>
        <w:br w:type="page"/>
      </w:r>
    </w:p>
    <w:p>
      <w:pPr>
        <w:pStyle w:val="Heading1"/>
        <w:spacing w:after="180" w:before="360"/>
      </w:pPr>
      <w:r>
        <w:rPr>
          <w:rFonts w:ascii="Arial" w:cs="Arial" w:eastAsia="Arial" w:hAnsi="Arial"/>
          <w:b/>
          <w:bCs/>
          <w:color w:val="1F3864"/>
          <w:sz w:val="32"/>
          <w:szCs w:val="32"/>
        </w:rPr>
        <w:t xml:space="preserve">3.  Task 1 — Prior-Art Stress Test (All Seven Claims)</w:t>
      </w:r>
    </w:p>
    <w:p>
      <w:pPr>
        <w:spacing w:after="120" w:before="0" w:line="300"/>
        <w:jc w:val="both"/>
      </w:pPr>
      <w:r>
        <w:rPr>
          <w:rFonts w:ascii="Arial" w:cs="Arial" w:eastAsia="Arial" w:hAnsi="Arial"/>
          <w:sz w:val="22"/>
          <w:szCs w:val="22"/>
        </w:rPr>
        <w:t xml:space="preserve">The seven claims are assessed against five identified prior-art platforms: Thumbtack (US, services marketplace, pay-per-quote credits), Bark.com (UK, lead generation, credit-per-lead), LinkedIn (US, professional network, InMail credits), Gumtree (international classifieds, free contact via masked email forwarding), and TaskRabbit (US, gig-services platform, commission model). The methodology follows Pozzoli v BDMO SA [2007] EWCA Civ 588 as adapted for SA practice: identify the inventive concept, identify the closest prior art, identify any difference, and assess whether the difference is obvious to a skilled addressee. Novelty ratings follow the SA / PCT terminology (STRONG / MODERATE / WEAK).</w:t>
      </w:r>
    </w:p>
    <w:p>
      <w:pPr>
        <w:spacing w:after="120" w:before="0" w:line="300"/>
        <w:jc w:val="both"/>
      </w:pPr>
      <w:r>
        <w:rPr>
          <w:rFonts w:ascii="Arial" w:cs="Arial" w:eastAsia="Arial" w:hAnsi="Arial"/>
          <w:sz w:val="22"/>
          <w:szCs w:val="22"/>
        </w:rPr>
        <w:t xml:space="preserve">The master assessment table follows on the next page in landscape orientation, after which the three most vulnerable claims are analysed in narrative form. The discussion thereafter feeds directly into the claim-language redrafts in Section 8.</w:t>
      </w:r>
    </w:p>
    <w:p>
      <w:r>
        <w:br w:type="page"/>
      </w:r>
    </w:p>
    <w:p>
      <w:pPr>
        <w:sectPr>
          <w:headerReference w:type="default" r:id="rId7"/>
          <w:footerReference w:type="default" r:id="rId8"/>
          <w:pgSz w:w="11906" w:h="16838" w:orient="portrait"/>
          <w:pgMar w:top="1440" w:right="1440" w:bottom="1440" w:left="1440" w:header="708" w:footer="708" w:gutter="0"/>
          <w:pgNumType/>
          <w:docGrid w:linePitch="360"/>
        </w:sectPr>
      </w:pPr>
    </w:p>
    <w:p>
      <w:pPr>
        <w:pStyle w:val="Heading2"/>
        <w:spacing w:after="140" w:before="280"/>
      </w:pPr>
      <w:r>
        <w:rPr>
          <w:rFonts w:ascii="Arial" w:cs="Arial" w:eastAsia="Arial" w:hAnsi="Arial"/>
          <w:b/>
          <w:bCs/>
          <w:color w:val="1F3864"/>
          <w:sz w:val="26"/>
          <w:szCs w:val="26"/>
        </w:rPr>
        <w:t xml:space="preserve">3.1  Master Prior-Art Stress Test Table</w:t>
      </w:r>
    </w:p>
    <w:p>
      <w:pPr>
        <w:spacing w:after="120" w:before="0" w:line="300"/>
        <w:jc w:val="both"/>
      </w:pPr>
      <w:r>
        <w:rPr>
          <w:rFonts w:ascii="Arial" w:cs="Arial" w:eastAsia="Arial" w:hAnsi="Arial"/>
          <w:i/>
          <w:iCs/>
          <w:sz w:val="20"/>
          <w:szCs w:val="20"/>
        </w:rPr>
        <w:t xml:space="preserve">Cells contain: substantive overlap assessment + key feature reference. Final column: novelty rating with one-line justification.</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1700"/>
        <w:gridCol w:w="2150"/>
        <w:gridCol w:w="2150"/>
        <w:gridCol w:w="2150"/>
        <w:gridCol w:w="2150"/>
        <w:gridCol w:w="2150"/>
        <w:gridCol w:w="1508"/>
      </w:tblGrid>
      <w:tr>
        <w:tc>
          <w:tcPr>
            <w:tcW w:type="dxa" w:w="1700"/>
            <w:tcBorders>
              <w:top w:val="single" w:color="888888" w:sz="4"/>
              <w:left w:val="single" w:color="888888" w:sz="4"/>
              <w:bottom w:val="single" w:color="888888" w:sz="4"/>
              <w:right w:val="single" w:color="888888" w:sz="4"/>
            </w:tcBorders>
            <w:shd w:fill="1F3864" w:color="auto" w:val="clear"/>
            <w:tcMar>
              <w:top w:type="dxa" w:w="80"/>
              <w:left w:type="dxa" w:w="100"/>
              <w:bottom w:type="dxa" w:w="80"/>
              <w:right w:type="dxa" w:w="100"/>
            </w:tcMar>
            <w:vAlign w:val="top"/>
          </w:tcPr>
          <w:p>
            <w:pPr>
              <w:spacing w:after="0" w:line="260"/>
              <w:jc w:val="left"/>
            </w:pPr>
            <w:r>
              <w:rPr>
                <w:rFonts w:ascii="Arial" w:cs="Arial" w:eastAsia="Arial" w:hAnsi="Arial"/>
                <w:b/>
                <w:bCs/>
                <w:color w:val="FFFFFF"/>
                <w:sz w:val="19"/>
                <w:szCs w:val="19"/>
              </w:rPr>
              <w:t xml:space="preserve">Claim</w:t>
            </w:r>
          </w:p>
        </w:tc>
        <w:tc>
          <w:tcPr>
            <w:tcW w:type="dxa" w:w="2150"/>
            <w:tcBorders>
              <w:top w:val="single" w:color="888888" w:sz="4"/>
              <w:left w:val="single" w:color="888888" w:sz="4"/>
              <w:bottom w:val="single" w:color="888888" w:sz="4"/>
              <w:right w:val="single" w:color="888888" w:sz="4"/>
            </w:tcBorders>
            <w:shd w:fill="1F3864" w:color="auto" w:val="clear"/>
            <w:tcMar>
              <w:top w:type="dxa" w:w="80"/>
              <w:left w:type="dxa" w:w="100"/>
              <w:bottom w:type="dxa" w:w="80"/>
              <w:right w:type="dxa" w:w="100"/>
            </w:tcMar>
            <w:vAlign w:val="top"/>
          </w:tcPr>
          <w:p>
            <w:pPr>
              <w:spacing w:after="0" w:line="260"/>
              <w:jc w:val="left"/>
            </w:pPr>
            <w:r>
              <w:rPr>
                <w:rFonts w:ascii="Arial" w:cs="Arial" w:eastAsia="Arial" w:hAnsi="Arial"/>
                <w:b/>
                <w:bCs/>
                <w:color w:val="FFFFFF"/>
                <w:sz w:val="19"/>
                <w:szCs w:val="19"/>
              </w:rPr>
              <w:t xml:space="preserve">Thumbtack</w:t>
            </w:r>
          </w:p>
        </w:tc>
        <w:tc>
          <w:tcPr>
            <w:tcW w:type="dxa" w:w="2150"/>
            <w:tcBorders>
              <w:top w:val="single" w:color="888888" w:sz="4"/>
              <w:left w:val="single" w:color="888888" w:sz="4"/>
              <w:bottom w:val="single" w:color="888888" w:sz="4"/>
              <w:right w:val="single" w:color="888888" w:sz="4"/>
            </w:tcBorders>
            <w:shd w:fill="1F3864" w:color="auto" w:val="clear"/>
            <w:tcMar>
              <w:top w:type="dxa" w:w="80"/>
              <w:left w:type="dxa" w:w="100"/>
              <w:bottom w:type="dxa" w:w="80"/>
              <w:right w:type="dxa" w:w="100"/>
            </w:tcMar>
            <w:vAlign w:val="top"/>
          </w:tcPr>
          <w:p>
            <w:pPr>
              <w:spacing w:after="0" w:line="260"/>
              <w:jc w:val="left"/>
            </w:pPr>
            <w:r>
              <w:rPr>
                <w:rFonts w:ascii="Arial" w:cs="Arial" w:eastAsia="Arial" w:hAnsi="Arial"/>
                <w:b/>
                <w:bCs/>
                <w:color w:val="FFFFFF"/>
                <w:sz w:val="19"/>
                <w:szCs w:val="19"/>
              </w:rPr>
              <w:t xml:space="preserve">Bark.com</w:t>
            </w:r>
          </w:p>
        </w:tc>
        <w:tc>
          <w:tcPr>
            <w:tcW w:type="dxa" w:w="2150"/>
            <w:tcBorders>
              <w:top w:val="single" w:color="888888" w:sz="4"/>
              <w:left w:val="single" w:color="888888" w:sz="4"/>
              <w:bottom w:val="single" w:color="888888" w:sz="4"/>
              <w:right w:val="single" w:color="888888" w:sz="4"/>
            </w:tcBorders>
            <w:shd w:fill="1F3864" w:color="auto" w:val="clear"/>
            <w:tcMar>
              <w:top w:type="dxa" w:w="80"/>
              <w:left w:type="dxa" w:w="100"/>
              <w:bottom w:type="dxa" w:w="80"/>
              <w:right w:type="dxa" w:w="100"/>
            </w:tcMar>
            <w:vAlign w:val="top"/>
          </w:tcPr>
          <w:p>
            <w:pPr>
              <w:spacing w:after="0" w:line="260"/>
              <w:jc w:val="left"/>
            </w:pPr>
            <w:r>
              <w:rPr>
                <w:rFonts w:ascii="Arial" w:cs="Arial" w:eastAsia="Arial" w:hAnsi="Arial"/>
                <w:b/>
                <w:bCs/>
                <w:color w:val="FFFFFF"/>
                <w:sz w:val="19"/>
                <w:szCs w:val="19"/>
              </w:rPr>
              <w:t xml:space="preserve">LinkedIn</w:t>
            </w:r>
          </w:p>
        </w:tc>
        <w:tc>
          <w:tcPr>
            <w:tcW w:type="dxa" w:w="2150"/>
            <w:tcBorders>
              <w:top w:val="single" w:color="888888" w:sz="4"/>
              <w:left w:val="single" w:color="888888" w:sz="4"/>
              <w:bottom w:val="single" w:color="888888" w:sz="4"/>
              <w:right w:val="single" w:color="888888" w:sz="4"/>
            </w:tcBorders>
            <w:shd w:fill="1F3864" w:color="auto" w:val="clear"/>
            <w:tcMar>
              <w:top w:type="dxa" w:w="80"/>
              <w:left w:type="dxa" w:w="100"/>
              <w:bottom w:type="dxa" w:w="80"/>
              <w:right w:type="dxa" w:w="100"/>
            </w:tcMar>
            <w:vAlign w:val="top"/>
          </w:tcPr>
          <w:p>
            <w:pPr>
              <w:spacing w:after="0" w:line="260"/>
              <w:jc w:val="left"/>
            </w:pPr>
            <w:r>
              <w:rPr>
                <w:rFonts w:ascii="Arial" w:cs="Arial" w:eastAsia="Arial" w:hAnsi="Arial"/>
                <w:b/>
                <w:bCs/>
                <w:color w:val="FFFFFF"/>
                <w:sz w:val="19"/>
                <w:szCs w:val="19"/>
              </w:rPr>
              <w:t xml:space="preserve">Gumtree</w:t>
            </w:r>
          </w:p>
        </w:tc>
        <w:tc>
          <w:tcPr>
            <w:tcW w:type="dxa" w:w="2150"/>
            <w:tcBorders>
              <w:top w:val="single" w:color="888888" w:sz="4"/>
              <w:left w:val="single" w:color="888888" w:sz="4"/>
              <w:bottom w:val="single" w:color="888888" w:sz="4"/>
              <w:right w:val="single" w:color="888888" w:sz="4"/>
            </w:tcBorders>
            <w:shd w:fill="1F3864" w:color="auto" w:val="clear"/>
            <w:tcMar>
              <w:top w:type="dxa" w:w="80"/>
              <w:left w:type="dxa" w:w="100"/>
              <w:bottom w:type="dxa" w:w="80"/>
              <w:right w:type="dxa" w:w="100"/>
            </w:tcMar>
            <w:vAlign w:val="top"/>
          </w:tcPr>
          <w:p>
            <w:pPr>
              <w:spacing w:after="0" w:line="260"/>
              <w:jc w:val="left"/>
            </w:pPr>
            <w:r>
              <w:rPr>
                <w:rFonts w:ascii="Arial" w:cs="Arial" w:eastAsia="Arial" w:hAnsi="Arial"/>
                <w:b/>
                <w:bCs/>
                <w:color w:val="FFFFFF"/>
                <w:sz w:val="19"/>
                <w:szCs w:val="19"/>
              </w:rPr>
              <w:t xml:space="preserve">TaskRabbit</w:t>
            </w:r>
          </w:p>
        </w:tc>
        <w:tc>
          <w:tcPr>
            <w:tcW w:type="dxa" w:w="1508"/>
            <w:tcBorders>
              <w:top w:val="single" w:color="888888" w:sz="4"/>
              <w:left w:val="single" w:color="888888" w:sz="4"/>
              <w:bottom w:val="single" w:color="888888" w:sz="4"/>
              <w:right w:val="single" w:color="888888" w:sz="4"/>
            </w:tcBorders>
            <w:shd w:fill="1F3864" w:color="auto" w:val="clear"/>
            <w:tcMar>
              <w:top w:type="dxa" w:w="80"/>
              <w:left w:type="dxa" w:w="100"/>
              <w:bottom w:type="dxa" w:w="80"/>
              <w:right w:type="dxa" w:w="100"/>
            </w:tcMar>
            <w:vAlign w:val="top"/>
          </w:tcPr>
          <w:p>
            <w:pPr>
              <w:spacing w:after="0" w:line="260"/>
              <w:jc w:val="left"/>
            </w:pPr>
            <w:r>
              <w:rPr>
                <w:rFonts w:ascii="Arial" w:cs="Arial" w:eastAsia="Arial" w:hAnsi="Arial"/>
                <w:b/>
                <w:bCs/>
                <w:color w:val="FFFFFF"/>
                <w:sz w:val="19"/>
                <w:szCs w:val="19"/>
              </w:rPr>
              <w:t xml:space="preserve">Novelty rating</w:t>
            </w:r>
          </w:p>
        </w:tc>
      </w:tr>
      <w:tr>
        <w:tc>
          <w:tcPr>
            <w:tcW w:type="dxa" w:w="1700"/>
            <w:tcBorders>
              <w:top w:val="single" w:color="888888" w:sz="4"/>
              <w:left w:val="single" w:color="888888" w:sz="4"/>
              <w:bottom w:val="single" w:color="888888" w:sz="4"/>
              <w:right w:val="single" w:color="888888" w:sz="4"/>
            </w:tcBorders>
            <w:shd w:fill="EAF2F8" w:color="auto" w:val="clear"/>
            <w:tcMar>
              <w:top w:type="dxa" w:w="80"/>
              <w:left w:type="dxa" w:w="100"/>
              <w:bottom w:type="dxa" w:w="80"/>
              <w:right w:type="dxa" w:w="100"/>
            </w:tcMar>
            <w:vAlign w:val="top"/>
          </w:tcPr>
          <w:p>
            <w:pPr>
              <w:spacing w:after="0" w:line="260"/>
              <w:jc w:val="left"/>
            </w:pPr>
            <w:r>
              <w:rPr>
                <w:rFonts w:ascii="Arial" w:cs="Arial" w:eastAsia="Arial" w:hAnsi="Arial"/>
                <w:b/>
                <w:bCs/>
                <w:sz w:val="18"/>
                <w:szCs w:val="18"/>
              </w:rPr>
              <w:t xml:space="preserve">C1: Unified Participation Model (role derived from transaction state)</w:t>
            </w:r>
          </w:p>
        </w:tc>
        <w:tc>
          <w:tcPr>
            <w:tcW w:type="dxa" w:w="2150"/>
            <w:tcBorders>
              <w:top w:val="single" w:color="888888" w:sz="4"/>
              <w:left w:val="single" w:color="888888" w:sz="4"/>
              <w:bottom w:val="single" w:color="888888" w:sz="4"/>
              <w:right w:val="single" w:color="888888" w:sz="4"/>
            </w:tcBorders>
            <w:tcMar>
              <w:top w:type="dxa" w:w="80"/>
              <w:left w:type="dxa" w:w="100"/>
              <w:bottom w:type="dxa" w:w="80"/>
              <w:right w:type="dxa" w:w="100"/>
            </w:tcMar>
            <w:vAlign w:val="top"/>
          </w:tcPr>
          <w:p>
            <w:pPr>
              <w:spacing w:after="0" w:line="260"/>
              <w:jc w:val="left"/>
            </w:pPr>
            <w:r>
              <w:rPr>
                <w:rFonts w:ascii="Arial" w:cs="Arial" w:eastAsia="Arial" w:hAnsi="Arial"/>
                <w:sz w:val="18"/>
                <w:szCs w:val="18"/>
              </w:rPr>
              <w:t xml:space="preserve">NO. Distinct "Pro" and "Customer" account types; separate sign-up flow; role is an explicit attribute persisted at registration.</w:t>
            </w:r>
          </w:p>
        </w:tc>
        <w:tc>
          <w:tcPr>
            <w:tcW w:type="dxa" w:w="2150"/>
            <w:tcBorders>
              <w:top w:val="single" w:color="888888" w:sz="4"/>
              <w:left w:val="single" w:color="888888" w:sz="4"/>
              <w:bottom w:val="single" w:color="888888" w:sz="4"/>
              <w:right w:val="single" w:color="888888" w:sz="4"/>
            </w:tcBorders>
            <w:tcMar>
              <w:top w:type="dxa" w:w="80"/>
              <w:left w:type="dxa" w:w="100"/>
              <w:bottom w:type="dxa" w:w="80"/>
              <w:right w:type="dxa" w:w="100"/>
            </w:tcMar>
            <w:vAlign w:val="top"/>
          </w:tcPr>
          <w:p>
            <w:pPr>
              <w:spacing w:after="0" w:line="260"/>
              <w:jc w:val="left"/>
            </w:pPr>
            <w:r>
              <w:rPr>
                <w:rFonts w:ascii="Arial" w:cs="Arial" w:eastAsia="Arial" w:hAnsi="Arial"/>
                <w:sz w:val="18"/>
                <w:szCs w:val="18"/>
              </w:rPr>
              <w:t xml:space="preserve">NO. "Professional" and "Buyer" accounts are distinct types with separate onboarding; role is persisted.</w:t>
            </w:r>
          </w:p>
        </w:tc>
        <w:tc>
          <w:tcPr>
            <w:tcW w:type="dxa" w:w="2150"/>
            <w:tcBorders>
              <w:top w:val="single" w:color="888888" w:sz="4"/>
              <w:left w:val="single" w:color="888888" w:sz="4"/>
              <w:bottom w:val="single" w:color="888888" w:sz="4"/>
              <w:right w:val="single" w:color="888888" w:sz="4"/>
            </w:tcBorders>
            <w:tcMar>
              <w:top w:type="dxa" w:w="80"/>
              <w:left w:type="dxa" w:w="100"/>
              <w:bottom w:type="dxa" w:w="80"/>
              <w:right w:type="dxa" w:w="100"/>
            </w:tcMar>
            <w:vAlign w:val="top"/>
          </w:tcPr>
          <w:p>
            <w:pPr>
              <w:spacing w:after="0" w:line="260"/>
              <w:jc w:val="left"/>
            </w:pPr>
            <w:r>
              <w:rPr>
                <w:rFonts w:ascii="Arial" w:cs="Arial" w:eastAsia="Arial" w:hAnsi="Arial"/>
                <w:sz w:val="18"/>
                <w:szCs w:val="18"/>
              </w:rPr>
              <w:t xml:space="preserve">PARTIAL. Single account model, but role variants (Member / Premium / Recruiter / Sales Navigator) are persisted role/subscription attributes, not derived state.</w:t>
            </w:r>
          </w:p>
        </w:tc>
        <w:tc>
          <w:tcPr>
            <w:tcW w:type="dxa" w:w="2150"/>
            <w:tcBorders>
              <w:top w:val="single" w:color="888888" w:sz="4"/>
              <w:left w:val="single" w:color="888888" w:sz="4"/>
              <w:bottom w:val="single" w:color="888888" w:sz="4"/>
              <w:right w:val="single" w:color="888888" w:sz="4"/>
            </w:tcBorders>
            <w:tcMar>
              <w:top w:type="dxa" w:w="80"/>
              <w:left w:type="dxa" w:w="100"/>
              <w:bottom w:type="dxa" w:w="80"/>
              <w:right w:type="dxa" w:w="100"/>
            </w:tcMar>
            <w:vAlign w:val="top"/>
          </w:tcPr>
          <w:p>
            <w:pPr>
              <w:spacing w:after="0" w:line="260"/>
              <w:jc w:val="left"/>
            </w:pPr>
            <w:r>
              <w:rPr>
                <w:rFonts w:ascii="Arial" w:cs="Arial" w:eastAsia="Arial" w:hAnsi="Arial"/>
                <w:sz w:val="18"/>
                <w:szCs w:val="18"/>
              </w:rPr>
              <w:t xml:space="preserve">PARTIAL. Single flat account; any user may post or reply. However Gumtree has no "introduction" object, no role concept at all, and no derived-state computation; role is simply absent.</w:t>
            </w:r>
          </w:p>
        </w:tc>
        <w:tc>
          <w:tcPr>
            <w:tcW w:type="dxa" w:w="2150"/>
            <w:tcBorders>
              <w:top w:val="single" w:color="888888" w:sz="4"/>
              <w:left w:val="single" w:color="888888" w:sz="4"/>
              <w:bottom w:val="single" w:color="888888" w:sz="4"/>
              <w:right w:val="single" w:color="888888" w:sz="4"/>
            </w:tcBorders>
            <w:tcMar>
              <w:top w:type="dxa" w:w="80"/>
              <w:left w:type="dxa" w:w="100"/>
              <w:bottom w:type="dxa" w:w="80"/>
              <w:right w:type="dxa" w:w="100"/>
            </w:tcMar>
            <w:vAlign w:val="top"/>
          </w:tcPr>
          <w:p>
            <w:pPr>
              <w:spacing w:after="0" w:line="260"/>
              <w:jc w:val="left"/>
            </w:pPr>
            <w:r>
              <w:rPr>
                <w:rFonts w:ascii="Arial" w:cs="Arial" w:eastAsia="Arial" w:hAnsi="Arial"/>
                <w:sz w:val="18"/>
                <w:szCs w:val="18"/>
              </w:rPr>
              <w:t xml:space="preserve">NO. "Tasker" vs "Client" are distinct account types with separate onboarding (background check / ID required for Tasker).</w:t>
            </w:r>
          </w:p>
        </w:tc>
        <w:tc>
          <w:tcPr>
            <w:tcW w:type="dxa" w:w="1508"/>
            <w:tcBorders>
              <w:top w:val="single" w:color="888888" w:sz="4"/>
              <w:left w:val="single" w:color="888888" w:sz="4"/>
              <w:bottom w:val="single" w:color="888888" w:sz="4"/>
              <w:right w:val="single" w:color="888888" w:sz="4"/>
            </w:tcBorders>
            <w:shd w:fill="FFE4B5" w:color="auto" w:val="clear"/>
            <w:tcMar>
              <w:top w:type="dxa" w:w="80"/>
              <w:left w:type="dxa" w:w="100"/>
              <w:bottom w:type="dxa" w:w="80"/>
              <w:right w:type="dxa" w:w="100"/>
            </w:tcMar>
            <w:vAlign w:val="top"/>
          </w:tcPr>
          <w:p>
            <w:pPr>
              <w:spacing w:after="0" w:line="260"/>
              <w:jc w:val="left"/>
            </w:pPr>
            <w:r>
              <w:rPr>
                <w:rFonts w:ascii="Arial" w:cs="Arial" w:eastAsia="Arial" w:hAnsi="Arial"/>
                <w:b/>
                <w:bCs/>
                <w:sz w:val="18"/>
                <w:szCs w:val="18"/>
              </w:rPr>
              <w:t xml:space="preserve">MODERATE. Distinct in framing from each, but obviousness exposure where competitor disclosed a single-account model. Strengthen by adding runtime authorisation logic.</w:t>
            </w:r>
          </w:p>
        </w:tc>
      </w:tr>
      <w:tr>
        <w:tc>
          <w:tcPr>
            <w:tcW w:type="dxa" w:w="1700"/>
            <w:tcBorders>
              <w:top w:val="single" w:color="888888" w:sz="4"/>
              <w:left w:val="single" w:color="888888" w:sz="4"/>
              <w:bottom w:val="single" w:color="888888" w:sz="4"/>
              <w:right w:val="single" w:color="888888" w:sz="4"/>
            </w:tcBorders>
            <w:shd w:fill="EAF2F8" w:color="auto" w:val="clear"/>
            <w:tcMar>
              <w:top w:type="dxa" w:w="80"/>
              <w:left w:type="dxa" w:w="100"/>
              <w:bottom w:type="dxa" w:w="80"/>
              <w:right w:type="dxa" w:w="100"/>
            </w:tcMar>
            <w:vAlign w:val="top"/>
          </w:tcPr>
          <w:p>
            <w:pPr>
              <w:spacing w:after="0" w:line="260"/>
              <w:jc w:val="left"/>
            </w:pPr>
            <w:r>
              <w:rPr>
                <w:rFonts w:ascii="Arial" w:cs="Arial" w:eastAsia="Arial" w:hAnsi="Arial"/>
                <w:b/>
                <w:bCs/>
                <w:sz w:val="18"/>
                <w:szCs w:val="18"/>
              </w:rPr>
              <w:t xml:space="preserve">C2: Tuppence Introduction Currency (non-transferable credit gating introductions)</w:t>
            </w:r>
          </w:p>
        </w:tc>
        <w:tc>
          <w:tcPr>
            <w:tcW w:type="dxa" w:w="2150"/>
            <w:tcBorders>
              <w:top w:val="single" w:color="888888" w:sz="4"/>
              <w:left w:val="single" w:color="888888" w:sz="4"/>
              <w:bottom w:val="single" w:color="888888" w:sz="4"/>
              <w:right w:val="single" w:color="888888" w:sz="4"/>
            </w:tcBorders>
            <w:tcMar>
              <w:top w:type="dxa" w:w="80"/>
              <w:left w:type="dxa" w:w="100"/>
              <w:bottom w:type="dxa" w:w="80"/>
              <w:right w:type="dxa" w:w="100"/>
            </w:tcMar>
            <w:vAlign w:val="top"/>
          </w:tcPr>
          <w:p>
            <w:pPr>
              <w:spacing w:after="0" w:line="260"/>
              <w:jc w:val="left"/>
            </w:pPr>
            <w:r>
              <w:rPr>
                <w:rFonts w:ascii="Arial" w:cs="Arial" w:eastAsia="Arial" w:hAnsi="Arial"/>
                <w:sz w:val="18"/>
                <w:szCs w:val="18"/>
              </w:rPr>
              <w:t xml:space="preserve">YES — substantial overlap. Thumbtack "Credits" / "Instant Match" pricing: Pros buy credits and spend them to be matched / quoted to a customer.</w:t>
            </w:r>
          </w:p>
        </w:tc>
        <w:tc>
          <w:tcPr>
            <w:tcW w:type="dxa" w:w="2150"/>
            <w:tcBorders>
              <w:top w:val="single" w:color="888888" w:sz="4"/>
              <w:left w:val="single" w:color="888888" w:sz="4"/>
              <w:bottom w:val="single" w:color="888888" w:sz="4"/>
              <w:right w:val="single" w:color="888888" w:sz="4"/>
            </w:tcBorders>
            <w:tcMar>
              <w:top w:type="dxa" w:w="80"/>
              <w:left w:type="dxa" w:w="100"/>
              <w:bottom w:type="dxa" w:w="80"/>
              <w:right w:type="dxa" w:w="100"/>
            </w:tcMar>
            <w:vAlign w:val="top"/>
          </w:tcPr>
          <w:p>
            <w:pPr>
              <w:spacing w:after="0" w:line="260"/>
              <w:jc w:val="left"/>
            </w:pPr>
            <w:r>
              <w:rPr>
                <w:rFonts w:ascii="Arial" w:cs="Arial" w:eastAsia="Arial" w:hAnsi="Arial"/>
                <w:sz w:val="18"/>
                <w:szCs w:val="18"/>
              </w:rPr>
              <w:t xml:space="preserve">YES — near-identical mechanism. Bark.com "Credits" / "Bark response": Pros purchase credits and spend a quantum to contact a lead. Non-transferable. Adjusts by category.</w:t>
            </w:r>
          </w:p>
        </w:tc>
        <w:tc>
          <w:tcPr>
            <w:tcW w:type="dxa" w:w="2150"/>
            <w:tcBorders>
              <w:top w:val="single" w:color="888888" w:sz="4"/>
              <w:left w:val="single" w:color="888888" w:sz="4"/>
              <w:bottom w:val="single" w:color="888888" w:sz="4"/>
              <w:right w:val="single" w:color="888888" w:sz="4"/>
            </w:tcBorders>
            <w:tcMar>
              <w:top w:type="dxa" w:w="80"/>
              <w:left w:type="dxa" w:w="100"/>
              <w:bottom w:type="dxa" w:w="80"/>
              <w:right w:type="dxa" w:w="100"/>
            </w:tcMar>
            <w:vAlign w:val="top"/>
          </w:tcPr>
          <w:p>
            <w:pPr>
              <w:spacing w:after="0" w:line="260"/>
              <w:jc w:val="left"/>
            </w:pPr>
            <w:r>
              <w:rPr>
                <w:rFonts w:ascii="Arial" w:cs="Arial" w:eastAsia="Arial" w:hAnsi="Arial"/>
                <w:sz w:val="18"/>
                <w:szCs w:val="18"/>
              </w:rPr>
              <w:t xml:space="preserve">PARTIAL. InMail credits gate stranger messaging and function as a spam filter / commitment signal; not used in a marketplace-introduction context but the underlying credit-as-gate idea is present.</w:t>
            </w:r>
          </w:p>
        </w:tc>
        <w:tc>
          <w:tcPr>
            <w:tcW w:type="dxa" w:w="2150"/>
            <w:tcBorders>
              <w:top w:val="single" w:color="888888" w:sz="4"/>
              <w:left w:val="single" w:color="888888" w:sz="4"/>
              <w:bottom w:val="single" w:color="888888" w:sz="4"/>
              <w:right w:val="single" w:color="888888" w:sz="4"/>
            </w:tcBorders>
            <w:tcMar>
              <w:top w:type="dxa" w:w="80"/>
              <w:left w:type="dxa" w:w="100"/>
              <w:bottom w:type="dxa" w:w="80"/>
              <w:right w:type="dxa" w:w="100"/>
            </w:tcMar>
            <w:vAlign w:val="top"/>
          </w:tcPr>
          <w:p>
            <w:pPr>
              <w:spacing w:after="0" w:line="260"/>
              <w:jc w:val="left"/>
            </w:pPr>
            <w:r>
              <w:rPr>
                <w:rFonts w:ascii="Arial" w:cs="Arial" w:eastAsia="Arial" w:hAnsi="Arial"/>
                <w:sz w:val="18"/>
                <w:szCs w:val="18"/>
              </w:rPr>
              <w:t xml:space="preserve">NO. Free posting and free reply. No credit / pay-to-contact mechanism.</w:t>
            </w:r>
          </w:p>
        </w:tc>
        <w:tc>
          <w:tcPr>
            <w:tcW w:type="dxa" w:w="2150"/>
            <w:tcBorders>
              <w:top w:val="single" w:color="888888" w:sz="4"/>
              <w:left w:val="single" w:color="888888" w:sz="4"/>
              <w:bottom w:val="single" w:color="888888" w:sz="4"/>
              <w:right w:val="single" w:color="888888" w:sz="4"/>
            </w:tcBorders>
            <w:tcMar>
              <w:top w:type="dxa" w:w="80"/>
              <w:left w:type="dxa" w:w="100"/>
              <w:bottom w:type="dxa" w:w="80"/>
              <w:right w:type="dxa" w:w="100"/>
            </w:tcMar>
            <w:vAlign w:val="top"/>
          </w:tcPr>
          <w:p>
            <w:pPr>
              <w:spacing w:after="0" w:line="260"/>
              <w:jc w:val="left"/>
            </w:pPr>
            <w:r>
              <w:rPr>
                <w:rFonts w:ascii="Arial" w:cs="Arial" w:eastAsia="Arial" w:hAnsi="Arial"/>
                <w:sz w:val="18"/>
                <w:szCs w:val="18"/>
              </w:rPr>
              <w:t xml:space="preserve">NO. No introduction credit; revenue is a commission on completed tasks.</w:t>
            </w:r>
          </w:p>
        </w:tc>
        <w:tc>
          <w:tcPr>
            <w:tcW w:type="dxa" w:w="1508"/>
            <w:tcBorders>
              <w:top w:val="single" w:color="888888" w:sz="4"/>
              <w:left w:val="single" w:color="888888" w:sz="4"/>
              <w:bottom w:val="single" w:color="888888" w:sz="4"/>
              <w:right w:val="single" w:color="888888" w:sz="4"/>
            </w:tcBorders>
            <w:shd w:fill="F8CBAD" w:color="auto" w:val="clear"/>
            <w:tcMar>
              <w:top w:type="dxa" w:w="80"/>
              <w:left w:type="dxa" w:w="100"/>
              <w:bottom w:type="dxa" w:w="80"/>
              <w:right w:type="dxa" w:w="100"/>
            </w:tcMar>
            <w:vAlign w:val="top"/>
          </w:tcPr>
          <w:p>
            <w:pPr>
              <w:spacing w:after="0" w:line="260"/>
              <w:jc w:val="left"/>
            </w:pPr>
            <w:r>
              <w:rPr>
                <w:rFonts w:ascii="Arial" w:cs="Arial" w:eastAsia="Arial" w:hAnsi="Arial"/>
                <w:b/>
                <w:bCs/>
                <w:sz w:val="18"/>
                <w:szCs w:val="18"/>
              </w:rPr>
              <w:t xml:space="preserve">WEAK. The credit-per-contact mechanism is the dominant prior-art family. Differentiation must rest on (i) buyer-side spend, (ii) no inter-user transfer endpoint, (iii) atomic restitution on decline.</w:t>
            </w:r>
          </w:p>
        </w:tc>
      </w:tr>
      <w:tr>
        <w:tc>
          <w:tcPr>
            <w:tcW w:type="dxa" w:w="1700"/>
            <w:tcBorders>
              <w:top w:val="single" w:color="888888" w:sz="4"/>
              <w:left w:val="single" w:color="888888" w:sz="4"/>
              <w:bottom w:val="single" w:color="888888" w:sz="4"/>
              <w:right w:val="single" w:color="888888" w:sz="4"/>
            </w:tcBorders>
            <w:shd w:fill="EAF2F8" w:color="auto" w:val="clear"/>
            <w:tcMar>
              <w:top w:type="dxa" w:w="80"/>
              <w:left w:type="dxa" w:w="100"/>
              <w:bottom w:type="dxa" w:w="80"/>
              <w:right w:type="dxa" w:w="100"/>
            </w:tcMar>
            <w:vAlign w:val="top"/>
          </w:tcPr>
          <w:p>
            <w:pPr>
              <w:spacing w:after="0" w:line="260"/>
              <w:jc w:val="left"/>
            </w:pPr>
            <w:r>
              <w:rPr>
                <w:rFonts w:ascii="Arial" w:cs="Arial" w:eastAsia="Arial" w:hAnsi="Arial"/>
                <w:b/>
                <w:bCs/>
                <w:sz w:val="18"/>
                <w:szCs w:val="18"/>
              </w:rPr>
              <w:t xml:space="preserve">C3: Anonymous Introduction Protocol (no PII until bilateral simultaneous consent)</w:t>
            </w:r>
          </w:p>
        </w:tc>
        <w:tc>
          <w:tcPr>
            <w:tcW w:type="dxa" w:w="2150"/>
            <w:tcBorders>
              <w:top w:val="single" w:color="888888" w:sz="4"/>
              <w:left w:val="single" w:color="888888" w:sz="4"/>
              <w:bottom w:val="single" w:color="888888" w:sz="4"/>
              <w:right w:val="single" w:color="888888" w:sz="4"/>
            </w:tcBorders>
            <w:tcMar>
              <w:top w:type="dxa" w:w="80"/>
              <w:left w:type="dxa" w:w="100"/>
              <w:bottom w:type="dxa" w:w="80"/>
              <w:right w:type="dxa" w:w="100"/>
            </w:tcMar>
            <w:vAlign w:val="top"/>
          </w:tcPr>
          <w:p>
            <w:pPr>
              <w:spacing w:after="0" w:line="260"/>
              <w:jc w:val="left"/>
            </w:pPr>
            <w:r>
              <w:rPr>
                <w:rFonts w:ascii="Arial" w:cs="Arial" w:eastAsia="Arial" w:hAnsi="Arial"/>
                <w:sz w:val="18"/>
                <w:szCs w:val="18"/>
              </w:rPr>
              <w:t xml:space="preserve">NO. Buyer name visible on quote request; Pro photo/name visible to buyer from the outset. No bilateral consent gate.</w:t>
            </w:r>
          </w:p>
        </w:tc>
        <w:tc>
          <w:tcPr>
            <w:tcW w:type="dxa" w:w="2150"/>
            <w:tcBorders>
              <w:top w:val="single" w:color="888888" w:sz="4"/>
              <w:left w:val="single" w:color="888888" w:sz="4"/>
              <w:bottom w:val="single" w:color="888888" w:sz="4"/>
              <w:right w:val="single" w:color="888888" w:sz="4"/>
            </w:tcBorders>
            <w:tcMar>
              <w:top w:type="dxa" w:w="80"/>
              <w:left w:type="dxa" w:w="100"/>
              <w:bottom w:type="dxa" w:w="80"/>
              <w:right w:type="dxa" w:w="100"/>
            </w:tcMar>
            <w:vAlign w:val="top"/>
          </w:tcPr>
          <w:p>
            <w:pPr>
              <w:spacing w:after="0" w:line="260"/>
              <w:jc w:val="left"/>
            </w:pPr>
            <w:r>
              <w:rPr>
                <w:rFonts w:ascii="Arial" w:cs="Arial" w:eastAsia="Arial" w:hAnsi="Arial"/>
                <w:sz w:val="18"/>
                <w:szCs w:val="18"/>
              </w:rPr>
              <w:t xml:space="preserve">PARTIAL. Buyer contact disclosed to Pro on credit-spend (unilateral). No symmetric disclosure event.</w:t>
            </w:r>
          </w:p>
        </w:tc>
        <w:tc>
          <w:tcPr>
            <w:tcW w:type="dxa" w:w="2150"/>
            <w:tcBorders>
              <w:top w:val="single" w:color="888888" w:sz="4"/>
              <w:left w:val="single" w:color="888888" w:sz="4"/>
              <w:bottom w:val="single" w:color="888888" w:sz="4"/>
              <w:right w:val="single" w:color="888888" w:sz="4"/>
            </w:tcBorders>
            <w:tcMar>
              <w:top w:type="dxa" w:w="80"/>
              <w:left w:type="dxa" w:w="100"/>
              <w:bottom w:type="dxa" w:w="80"/>
              <w:right w:type="dxa" w:w="100"/>
            </w:tcMar>
            <w:vAlign w:val="top"/>
          </w:tcPr>
          <w:p>
            <w:pPr>
              <w:spacing w:after="0" w:line="260"/>
              <w:jc w:val="left"/>
            </w:pPr>
            <w:r>
              <w:rPr>
                <w:rFonts w:ascii="Arial" w:cs="Arial" w:eastAsia="Arial" w:hAnsi="Arial"/>
                <w:sz w:val="18"/>
                <w:szCs w:val="18"/>
              </w:rPr>
              <w:t xml:space="preserve">NO. Sender always identified to recipient; recipient identity always visible to sender.</w:t>
            </w:r>
          </w:p>
        </w:tc>
        <w:tc>
          <w:tcPr>
            <w:tcW w:type="dxa" w:w="2150"/>
            <w:tcBorders>
              <w:top w:val="single" w:color="888888" w:sz="4"/>
              <w:left w:val="single" w:color="888888" w:sz="4"/>
              <w:bottom w:val="single" w:color="888888" w:sz="4"/>
              <w:right w:val="single" w:color="888888" w:sz="4"/>
            </w:tcBorders>
            <w:tcMar>
              <w:top w:type="dxa" w:w="80"/>
              <w:left w:type="dxa" w:w="100"/>
              <w:bottom w:type="dxa" w:w="80"/>
              <w:right w:type="dxa" w:w="100"/>
            </w:tcMar>
            <w:vAlign w:val="top"/>
          </w:tcPr>
          <w:p>
            <w:pPr>
              <w:spacing w:after="0" w:line="260"/>
              <w:jc w:val="left"/>
            </w:pPr>
            <w:r>
              <w:rPr>
                <w:rFonts w:ascii="Arial" w:cs="Arial" w:eastAsia="Arial" w:hAnsi="Arial"/>
                <w:sz w:val="18"/>
                <w:szCs w:val="18"/>
              </w:rPr>
              <w:t xml:space="preserve">PARTIAL. Reply form masks email via forwarding; not symmetric, no formal consent state, no bilateral simultaneous disclosure event.</w:t>
            </w:r>
          </w:p>
        </w:tc>
        <w:tc>
          <w:tcPr>
            <w:tcW w:type="dxa" w:w="2150"/>
            <w:tcBorders>
              <w:top w:val="single" w:color="888888" w:sz="4"/>
              <w:left w:val="single" w:color="888888" w:sz="4"/>
              <w:bottom w:val="single" w:color="888888" w:sz="4"/>
              <w:right w:val="single" w:color="888888" w:sz="4"/>
            </w:tcBorders>
            <w:tcMar>
              <w:top w:type="dxa" w:w="80"/>
              <w:left w:type="dxa" w:w="100"/>
              <w:bottom w:type="dxa" w:w="80"/>
              <w:right w:type="dxa" w:w="100"/>
            </w:tcMar>
            <w:vAlign w:val="top"/>
          </w:tcPr>
          <w:p>
            <w:pPr>
              <w:spacing w:after="0" w:line="260"/>
              <w:jc w:val="left"/>
            </w:pPr>
            <w:r>
              <w:rPr>
                <w:rFonts w:ascii="Arial" w:cs="Arial" w:eastAsia="Arial" w:hAnsi="Arial"/>
                <w:sz w:val="18"/>
                <w:szCs w:val="18"/>
              </w:rPr>
              <w:t xml:space="preserve">NO. Tasker name + photo shown upfront; Client name shown to Tasker on hire.</w:t>
            </w:r>
          </w:p>
        </w:tc>
        <w:tc>
          <w:tcPr>
            <w:tcW w:type="dxa" w:w="1508"/>
            <w:tcBorders>
              <w:top w:val="single" w:color="888888" w:sz="4"/>
              <w:left w:val="single" w:color="888888" w:sz="4"/>
              <w:bottom w:val="single" w:color="888888" w:sz="4"/>
              <w:right w:val="single" w:color="888888" w:sz="4"/>
            </w:tcBorders>
            <w:shd w:fill="E2EFD9" w:color="auto" w:val="clear"/>
            <w:tcMar>
              <w:top w:type="dxa" w:w="80"/>
              <w:left w:type="dxa" w:w="100"/>
              <w:bottom w:type="dxa" w:w="80"/>
              <w:right w:type="dxa" w:w="100"/>
            </w:tcMar>
            <w:vAlign w:val="top"/>
          </w:tcPr>
          <w:p>
            <w:pPr>
              <w:spacing w:after="0" w:line="260"/>
              <w:jc w:val="left"/>
            </w:pPr>
            <w:r>
              <w:rPr>
                <w:rFonts w:ascii="Arial" w:cs="Arial" w:eastAsia="Arial" w:hAnsi="Arial"/>
                <w:b/>
                <w:bCs/>
                <w:sz w:val="18"/>
                <w:szCs w:val="18"/>
              </w:rPr>
              <w:t xml:space="preserve">MODERATE-STRONG. The atomic simultaneous bilateral-disclosure event on second-party consent is not reproduced in any reviewed prior art. Vulnerability is in claim language, not in concept.</w:t>
            </w:r>
          </w:p>
        </w:tc>
      </w:tr>
      <w:tr>
        <w:tc>
          <w:tcPr>
            <w:tcW w:type="dxa" w:w="1700"/>
            <w:tcBorders>
              <w:top w:val="single" w:color="888888" w:sz="4"/>
              <w:left w:val="single" w:color="888888" w:sz="4"/>
              <w:bottom w:val="single" w:color="888888" w:sz="4"/>
              <w:right w:val="single" w:color="888888" w:sz="4"/>
            </w:tcBorders>
            <w:shd w:fill="EAF2F8" w:color="auto" w:val="clear"/>
            <w:tcMar>
              <w:top w:type="dxa" w:w="80"/>
              <w:left w:type="dxa" w:w="100"/>
              <w:bottom w:type="dxa" w:w="80"/>
              <w:right w:type="dxa" w:w="100"/>
            </w:tcMar>
            <w:vAlign w:val="top"/>
          </w:tcPr>
          <w:p>
            <w:pPr>
              <w:spacing w:after="0" w:line="260"/>
              <w:jc w:val="left"/>
            </w:pPr>
            <w:r>
              <w:rPr>
                <w:rFonts w:ascii="Arial" w:cs="Arial" w:eastAsia="Arial" w:hAnsi="Arial"/>
                <w:b/>
                <w:bCs/>
                <w:sz w:val="18"/>
                <w:szCs w:val="18"/>
              </w:rPr>
              <w:t xml:space="preserve">C4: Trust Score Composite (server-computed, no self-reporting)</w:t>
            </w:r>
          </w:p>
        </w:tc>
        <w:tc>
          <w:tcPr>
            <w:tcW w:type="dxa" w:w="2150"/>
            <w:tcBorders>
              <w:top w:val="single" w:color="888888" w:sz="4"/>
              <w:left w:val="single" w:color="888888" w:sz="4"/>
              <w:bottom w:val="single" w:color="888888" w:sz="4"/>
              <w:right w:val="single" w:color="888888" w:sz="4"/>
            </w:tcBorders>
            <w:tcMar>
              <w:top w:type="dxa" w:w="80"/>
              <w:left w:type="dxa" w:w="100"/>
              <w:bottom w:type="dxa" w:w="80"/>
              <w:right w:type="dxa" w:w="100"/>
            </w:tcMar>
            <w:vAlign w:val="top"/>
          </w:tcPr>
          <w:p>
            <w:pPr>
              <w:spacing w:after="0" w:line="260"/>
              <w:jc w:val="left"/>
            </w:pPr>
            <w:r>
              <w:rPr>
                <w:rFonts w:ascii="Arial" w:cs="Arial" w:eastAsia="Arial" w:hAnsi="Arial"/>
                <w:sz w:val="18"/>
                <w:szCs w:val="18"/>
              </w:rPr>
              <w:t xml:space="preserve">YES — substantial. "Top Pro" badge is server-computed from response rate, completion rate, customer reviews. Buyer reviews are included (which TrustSquare also includes).</w:t>
            </w:r>
          </w:p>
        </w:tc>
        <w:tc>
          <w:tcPr>
            <w:tcW w:type="dxa" w:w="2150"/>
            <w:tcBorders>
              <w:top w:val="single" w:color="888888" w:sz="4"/>
              <w:left w:val="single" w:color="888888" w:sz="4"/>
              <w:bottom w:val="single" w:color="888888" w:sz="4"/>
              <w:right w:val="single" w:color="888888" w:sz="4"/>
            </w:tcBorders>
            <w:tcMar>
              <w:top w:type="dxa" w:w="80"/>
              <w:left w:type="dxa" w:w="100"/>
              <w:bottom w:type="dxa" w:w="80"/>
              <w:right w:type="dxa" w:w="100"/>
            </w:tcMar>
            <w:vAlign w:val="top"/>
          </w:tcPr>
          <w:p>
            <w:pPr>
              <w:spacing w:after="0" w:line="260"/>
              <w:jc w:val="left"/>
            </w:pPr>
            <w:r>
              <w:rPr>
                <w:rFonts w:ascii="Arial" w:cs="Arial" w:eastAsia="Arial" w:hAnsi="Arial"/>
                <w:sz w:val="18"/>
                <w:szCs w:val="18"/>
              </w:rPr>
              <w:t xml:space="preserve">YES. Bark verification badges and star rating composite mirror the claim.</w:t>
            </w:r>
          </w:p>
        </w:tc>
        <w:tc>
          <w:tcPr>
            <w:tcW w:type="dxa" w:w="2150"/>
            <w:tcBorders>
              <w:top w:val="single" w:color="888888" w:sz="4"/>
              <w:left w:val="single" w:color="888888" w:sz="4"/>
              <w:bottom w:val="single" w:color="888888" w:sz="4"/>
              <w:right w:val="single" w:color="888888" w:sz="4"/>
            </w:tcBorders>
            <w:tcMar>
              <w:top w:type="dxa" w:w="80"/>
              <w:left w:type="dxa" w:w="100"/>
              <w:bottom w:type="dxa" w:w="80"/>
              <w:right w:type="dxa" w:w="100"/>
            </w:tcMar>
            <w:vAlign w:val="top"/>
          </w:tcPr>
          <w:p>
            <w:pPr>
              <w:spacing w:after="0" w:line="260"/>
              <w:jc w:val="left"/>
            </w:pPr>
            <w:r>
              <w:rPr>
                <w:rFonts w:ascii="Arial" w:cs="Arial" w:eastAsia="Arial" w:hAnsi="Arial"/>
                <w:sz w:val="18"/>
                <w:szCs w:val="18"/>
              </w:rPr>
              <w:t xml:space="preserve">PARTIAL. Social Selling Index (SSI) is a server-computed composite reputation metric (0-100). Direct precedent for the numerical-composite element of the claim.</w:t>
            </w:r>
          </w:p>
        </w:tc>
        <w:tc>
          <w:tcPr>
            <w:tcW w:type="dxa" w:w="2150"/>
            <w:tcBorders>
              <w:top w:val="single" w:color="888888" w:sz="4"/>
              <w:left w:val="single" w:color="888888" w:sz="4"/>
              <w:bottom w:val="single" w:color="888888" w:sz="4"/>
              <w:right w:val="single" w:color="888888" w:sz="4"/>
            </w:tcBorders>
            <w:tcMar>
              <w:top w:type="dxa" w:w="80"/>
              <w:left w:type="dxa" w:w="100"/>
              <w:bottom w:type="dxa" w:w="80"/>
              <w:right w:type="dxa" w:w="100"/>
            </w:tcMar>
            <w:vAlign w:val="top"/>
          </w:tcPr>
          <w:p>
            <w:pPr>
              <w:spacing w:after="0" w:line="260"/>
              <w:jc w:val="left"/>
            </w:pPr>
            <w:r>
              <w:rPr>
                <w:rFonts w:ascii="Arial" w:cs="Arial" w:eastAsia="Arial" w:hAnsi="Arial"/>
                <w:sz w:val="18"/>
                <w:szCs w:val="18"/>
              </w:rPr>
              <w:t xml:space="preserve">NO. No reputation score.</w:t>
            </w:r>
          </w:p>
        </w:tc>
        <w:tc>
          <w:tcPr>
            <w:tcW w:type="dxa" w:w="2150"/>
            <w:tcBorders>
              <w:top w:val="single" w:color="888888" w:sz="4"/>
              <w:left w:val="single" w:color="888888" w:sz="4"/>
              <w:bottom w:val="single" w:color="888888" w:sz="4"/>
              <w:right w:val="single" w:color="888888" w:sz="4"/>
            </w:tcBorders>
            <w:tcMar>
              <w:top w:type="dxa" w:w="80"/>
              <w:left w:type="dxa" w:w="100"/>
              <w:bottom w:type="dxa" w:w="80"/>
              <w:right w:type="dxa" w:w="100"/>
            </w:tcMar>
            <w:vAlign w:val="top"/>
          </w:tcPr>
          <w:p>
            <w:pPr>
              <w:spacing w:after="0" w:line="260"/>
              <w:jc w:val="left"/>
            </w:pPr>
            <w:r>
              <w:rPr>
                <w:rFonts w:ascii="Arial" w:cs="Arial" w:eastAsia="Arial" w:hAnsi="Arial"/>
                <w:sz w:val="18"/>
                <w:szCs w:val="18"/>
              </w:rPr>
              <w:t xml:space="preserve">PARTIAL. Tasker rating average is server-computed but largely buyer-reported.</w:t>
            </w:r>
          </w:p>
        </w:tc>
        <w:tc>
          <w:tcPr>
            <w:tcW w:type="dxa" w:w="1508"/>
            <w:tcBorders>
              <w:top w:val="single" w:color="888888" w:sz="4"/>
              <w:left w:val="single" w:color="888888" w:sz="4"/>
              <w:bottom w:val="single" w:color="888888" w:sz="4"/>
              <w:right w:val="single" w:color="888888" w:sz="4"/>
            </w:tcBorders>
            <w:shd w:fill="F8CBAD" w:color="auto" w:val="clear"/>
            <w:tcMar>
              <w:top w:type="dxa" w:w="80"/>
              <w:left w:type="dxa" w:w="100"/>
              <w:bottom w:type="dxa" w:w="80"/>
              <w:right w:type="dxa" w:w="100"/>
            </w:tcMar>
            <w:vAlign w:val="top"/>
          </w:tcPr>
          <w:p>
            <w:pPr>
              <w:spacing w:after="0" w:line="260"/>
              <w:jc w:val="left"/>
            </w:pPr>
            <w:r>
              <w:rPr>
                <w:rFonts w:ascii="Arial" w:cs="Arial" w:eastAsia="Arial" w:hAnsi="Arial"/>
                <w:b/>
                <w:bCs/>
                <w:sz w:val="18"/>
                <w:szCs w:val="18"/>
              </w:rPr>
              <w:t xml:space="preserve">WEAK. Server-computed reputation is a well-known pattern. Narrow to tamper-prevention + write-only audit + deterministic recomputation, or demote.</w:t>
            </w:r>
          </w:p>
        </w:tc>
      </w:tr>
      <w:tr>
        <w:tc>
          <w:tcPr>
            <w:tcW w:type="dxa" w:w="1700"/>
            <w:tcBorders>
              <w:top w:val="single" w:color="888888" w:sz="4"/>
              <w:left w:val="single" w:color="888888" w:sz="4"/>
              <w:bottom w:val="single" w:color="888888" w:sz="4"/>
              <w:right w:val="single" w:color="888888" w:sz="4"/>
            </w:tcBorders>
            <w:shd w:fill="EAF2F8" w:color="auto" w:val="clear"/>
            <w:tcMar>
              <w:top w:type="dxa" w:w="80"/>
              <w:left w:type="dxa" w:w="100"/>
              <w:bottom w:type="dxa" w:w="80"/>
              <w:right w:type="dxa" w:w="100"/>
            </w:tcMar>
            <w:vAlign w:val="top"/>
          </w:tcPr>
          <w:p>
            <w:pPr>
              <w:spacing w:after="0" w:line="260"/>
              <w:jc w:val="left"/>
            </w:pPr>
            <w:r>
              <w:rPr>
                <w:rFonts w:ascii="Arial" w:cs="Arial" w:eastAsia="Arial" w:hAnsi="Arial"/>
                <w:b/>
                <w:bCs/>
                <w:sz w:val="18"/>
                <w:szCs w:val="18"/>
              </w:rPr>
              <w:t xml:space="preserve">C5: Geo-Hierarchical Visibility (4-level geo gated by subscription tier)</w:t>
            </w:r>
          </w:p>
        </w:tc>
        <w:tc>
          <w:tcPr>
            <w:tcW w:type="dxa" w:w="2150"/>
            <w:tcBorders>
              <w:top w:val="single" w:color="888888" w:sz="4"/>
              <w:left w:val="single" w:color="888888" w:sz="4"/>
              <w:bottom w:val="single" w:color="888888" w:sz="4"/>
              <w:right w:val="single" w:color="888888" w:sz="4"/>
            </w:tcBorders>
            <w:tcMar>
              <w:top w:type="dxa" w:w="80"/>
              <w:left w:type="dxa" w:w="100"/>
              <w:bottom w:type="dxa" w:w="80"/>
              <w:right w:type="dxa" w:w="100"/>
            </w:tcMar>
            <w:vAlign w:val="top"/>
          </w:tcPr>
          <w:p>
            <w:pPr>
              <w:spacing w:after="0" w:line="260"/>
              <w:jc w:val="left"/>
            </w:pPr>
            <w:r>
              <w:rPr>
                <w:rFonts w:ascii="Arial" w:cs="Arial" w:eastAsia="Arial" w:hAnsi="Arial"/>
                <w:sz w:val="18"/>
                <w:szCs w:val="18"/>
              </w:rPr>
              <w:t xml:space="preserve">PARTIAL. Pros set a service-area radius; "Promote" amplifies reach. Not a 4-level hierarchy; not tier-gated in this structure.</w:t>
            </w:r>
          </w:p>
        </w:tc>
        <w:tc>
          <w:tcPr>
            <w:tcW w:type="dxa" w:w="2150"/>
            <w:tcBorders>
              <w:top w:val="single" w:color="888888" w:sz="4"/>
              <w:left w:val="single" w:color="888888" w:sz="4"/>
              <w:bottom w:val="single" w:color="888888" w:sz="4"/>
              <w:right w:val="single" w:color="888888" w:sz="4"/>
            </w:tcBorders>
            <w:tcMar>
              <w:top w:type="dxa" w:w="80"/>
              <w:left w:type="dxa" w:w="100"/>
              <w:bottom w:type="dxa" w:w="80"/>
              <w:right w:type="dxa" w:w="100"/>
            </w:tcMar>
            <w:vAlign w:val="top"/>
          </w:tcPr>
          <w:p>
            <w:pPr>
              <w:spacing w:after="0" w:line="260"/>
              <w:jc w:val="left"/>
            </w:pPr>
            <w:r>
              <w:rPr>
                <w:rFonts w:ascii="Arial" w:cs="Arial" w:eastAsia="Arial" w:hAnsi="Arial"/>
                <w:sz w:val="18"/>
                <w:szCs w:val="18"/>
              </w:rPr>
              <w:t xml:space="preserve">PARTIAL. Postcode-based filtering with no tier-gated hierarchical visibility.</w:t>
            </w:r>
          </w:p>
        </w:tc>
        <w:tc>
          <w:tcPr>
            <w:tcW w:type="dxa" w:w="2150"/>
            <w:tcBorders>
              <w:top w:val="single" w:color="888888" w:sz="4"/>
              <w:left w:val="single" w:color="888888" w:sz="4"/>
              <w:bottom w:val="single" w:color="888888" w:sz="4"/>
              <w:right w:val="single" w:color="888888" w:sz="4"/>
            </w:tcBorders>
            <w:tcMar>
              <w:top w:type="dxa" w:w="80"/>
              <w:left w:type="dxa" w:w="100"/>
              <w:bottom w:type="dxa" w:w="80"/>
              <w:right w:type="dxa" w:w="100"/>
            </w:tcMar>
            <w:vAlign w:val="top"/>
          </w:tcPr>
          <w:p>
            <w:pPr>
              <w:spacing w:after="0" w:line="260"/>
              <w:jc w:val="left"/>
            </w:pPr>
            <w:r>
              <w:rPr>
                <w:rFonts w:ascii="Arial" w:cs="Arial" w:eastAsia="Arial" w:hAnsi="Arial"/>
                <w:sz w:val="18"/>
                <w:szCs w:val="18"/>
              </w:rPr>
              <w:t xml:space="preserve">PARTIAL. Premium subscriptions gate certain visibility features (recruiter search reach). Not a marketplace geo-hierarchy.</w:t>
            </w:r>
          </w:p>
        </w:tc>
        <w:tc>
          <w:tcPr>
            <w:tcW w:type="dxa" w:w="2150"/>
            <w:tcBorders>
              <w:top w:val="single" w:color="888888" w:sz="4"/>
              <w:left w:val="single" w:color="888888" w:sz="4"/>
              <w:bottom w:val="single" w:color="888888" w:sz="4"/>
              <w:right w:val="single" w:color="888888" w:sz="4"/>
            </w:tcBorders>
            <w:tcMar>
              <w:top w:type="dxa" w:w="80"/>
              <w:left w:type="dxa" w:w="100"/>
              <w:bottom w:type="dxa" w:w="80"/>
              <w:right w:type="dxa" w:w="100"/>
            </w:tcMar>
            <w:vAlign w:val="top"/>
          </w:tcPr>
          <w:p>
            <w:pPr>
              <w:spacing w:after="0" w:line="260"/>
              <w:jc w:val="left"/>
            </w:pPr>
            <w:r>
              <w:rPr>
                <w:rFonts w:ascii="Arial" w:cs="Arial" w:eastAsia="Arial" w:hAnsi="Arial"/>
                <w:sz w:val="18"/>
                <w:szCs w:val="18"/>
              </w:rPr>
              <w:t xml:space="preserve">NO formal hierarchy, but city/region taxonomies exist. No tier gating.</w:t>
            </w:r>
          </w:p>
        </w:tc>
        <w:tc>
          <w:tcPr>
            <w:tcW w:type="dxa" w:w="2150"/>
            <w:tcBorders>
              <w:top w:val="single" w:color="888888" w:sz="4"/>
              <w:left w:val="single" w:color="888888" w:sz="4"/>
              <w:bottom w:val="single" w:color="888888" w:sz="4"/>
              <w:right w:val="single" w:color="888888" w:sz="4"/>
            </w:tcBorders>
            <w:tcMar>
              <w:top w:type="dxa" w:w="80"/>
              <w:left w:type="dxa" w:w="100"/>
              <w:bottom w:type="dxa" w:w="80"/>
              <w:right w:type="dxa" w:w="100"/>
            </w:tcMar>
            <w:vAlign w:val="top"/>
          </w:tcPr>
          <w:p>
            <w:pPr>
              <w:spacing w:after="0" w:line="260"/>
              <w:jc w:val="left"/>
            </w:pPr>
            <w:r>
              <w:rPr>
                <w:rFonts w:ascii="Arial" w:cs="Arial" w:eastAsia="Arial" w:hAnsi="Arial"/>
                <w:sz w:val="18"/>
                <w:szCs w:val="18"/>
              </w:rPr>
              <w:t xml:space="preserve">PARTIAL. Service-area radius selection by Tasker.</w:t>
            </w:r>
          </w:p>
        </w:tc>
        <w:tc>
          <w:tcPr>
            <w:tcW w:type="dxa" w:w="1508"/>
            <w:tcBorders>
              <w:top w:val="single" w:color="888888" w:sz="4"/>
              <w:left w:val="single" w:color="888888" w:sz="4"/>
              <w:bottom w:val="single" w:color="888888" w:sz="4"/>
              <w:right w:val="single" w:color="888888" w:sz="4"/>
            </w:tcBorders>
            <w:shd w:fill="FFE4B5" w:color="auto" w:val="clear"/>
            <w:tcMar>
              <w:top w:type="dxa" w:w="80"/>
              <w:left w:type="dxa" w:w="100"/>
              <w:bottom w:type="dxa" w:w="80"/>
              <w:right w:type="dxa" w:w="100"/>
            </w:tcMar>
            <w:vAlign w:val="top"/>
          </w:tcPr>
          <w:p>
            <w:pPr>
              <w:spacing w:after="0" w:line="260"/>
              <w:jc w:val="left"/>
            </w:pPr>
            <w:r>
              <w:rPr>
                <w:rFonts w:ascii="Arial" w:cs="Arial" w:eastAsia="Arial" w:hAnsi="Arial"/>
                <w:b/>
                <w:bCs/>
                <w:sz w:val="18"/>
                <w:szCs w:val="18"/>
              </w:rPr>
              <w:t xml:space="preserve">MODERATE. Combination of normalised 4-level geo with tier-driven query-rewriting at the data-access layer is differentiating; current language reads as a business rule.</w:t>
            </w:r>
          </w:p>
        </w:tc>
      </w:tr>
      <w:tr>
        <w:tc>
          <w:tcPr>
            <w:tcW w:type="dxa" w:w="1700"/>
            <w:tcBorders>
              <w:top w:val="single" w:color="888888" w:sz="4"/>
              <w:left w:val="single" w:color="888888" w:sz="4"/>
              <w:bottom w:val="single" w:color="888888" w:sz="4"/>
              <w:right w:val="single" w:color="888888" w:sz="4"/>
            </w:tcBorders>
            <w:shd w:fill="EAF2F8" w:color="auto" w:val="clear"/>
            <w:tcMar>
              <w:top w:type="dxa" w:w="80"/>
              <w:left w:type="dxa" w:w="100"/>
              <w:bottom w:type="dxa" w:w="80"/>
              <w:right w:type="dxa" w:w="100"/>
            </w:tcMar>
            <w:vAlign w:val="top"/>
          </w:tcPr>
          <w:p>
            <w:pPr>
              <w:spacing w:after="0" w:line="260"/>
              <w:jc w:val="left"/>
            </w:pPr>
            <w:r>
              <w:rPr>
                <w:rFonts w:ascii="Arial" w:cs="Arial" w:eastAsia="Arial" w:hAnsi="Arial"/>
                <w:b/>
                <w:bCs/>
                <w:sz w:val="18"/>
                <w:szCs w:val="18"/>
              </w:rPr>
              <w:t xml:space="preserve">C6: Founding Seller Cohort (permanent priority placement for early sellers)</w:t>
            </w:r>
          </w:p>
        </w:tc>
        <w:tc>
          <w:tcPr>
            <w:tcW w:type="dxa" w:w="2150"/>
            <w:tcBorders>
              <w:top w:val="single" w:color="888888" w:sz="4"/>
              <w:left w:val="single" w:color="888888" w:sz="4"/>
              <w:bottom w:val="single" w:color="888888" w:sz="4"/>
              <w:right w:val="single" w:color="888888" w:sz="4"/>
            </w:tcBorders>
            <w:tcMar>
              <w:top w:type="dxa" w:w="80"/>
              <w:left w:type="dxa" w:w="100"/>
              <w:bottom w:type="dxa" w:w="80"/>
              <w:right w:type="dxa" w:w="100"/>
            </w:tcMar>
            <w:vAlign w:val="top"/>
          </w:tcPr>
          <w:p>
            <w:pPr>
              <w:spacing w:after="0" w:line="260"/>
              <w:jc w:val="left"/>
            </w:pPr>
            <w:r>
              <w:rPr>
                <w:rFonts w:ascii="Arial" w:cs="Arial" w:eastAsia="Arial" w:hAnsi="Arial"/>
                <w:sz w:val="18"/>
                <w:szCs w:val="18"/>
              </w:rPr>
              <w:t xml:space="preserve">NO. Pricing and "Pro of the Year" badges are temporary / merit-based, not a closed launch cohort.</w:t>
            </w:r>
          </w:p>
        </w:tc>
        <w:tc>
          <w:tcPr>
            <w:tcW w:type="dxa" w:w="2150"/>
            <w:tcBorders>
              <w:top w:val="single" w:color="888888" w:sz="4"/>
              <w:left w:val="single" w:color="888888" w:sz="4"/>
              <w:bottom w:val="single" w:color="888888" w:sz="4"/>
              <w:right w:val="single" w:color="888888" w:sz="4"/>
            </w:tcBorders>
            <w:tcMar>
              <w:top w:type="dxa" w:w="80"/>
              <w:left w:type="dxa" w:w="100"/>
              <w:bottom w:type="dxa" w:w="80"/>
              <w:right w:type="dxa" w:w="100"/>
            </w:tcMar>
            <w:vAlign w:val="top"/>
          </w:tcPr>
          <w:p>
            <w:pPr>
              <w:spacing w:after="0" w:line="260"/>
              <w:jc w:val="left"/>
            </w:pPr>
            <w:r>
              <w:rPr>
                <w:rFonts w:ascii="Arial" w:cs="Arial" w:eastAsia="Arial" w:hAnsi="Arial"/>
                <w:sz w:val="18"/>
                <w:szCs w:val="18"/>
              </w:rPr>
              <w:t xml:space="preserve">NO.</w:t>
            </w:r>
          </w:p>
        </w:tc>
        <w:tc>
          <w:tcPr>
            <w:tcW w:type="dxa" w:w="2150"/>
            <w:tcBorders>
              <w:top w:val="single" w:color="888888" w:sz="4"/>
              <w:left w:val="single" w:color="888888" w:sz="4"/>
              <w:bottom w:val="single" w:color="888888" w:sz="4"/>
              <w:right w:val="single" w:color="888888" w:sz="4"/>
            </w:tcBorders>
            <w:tcMar>
              <w:top w:type="dxa" w:w="80"/>
              <w:left w:type="dxa" w:w="100"/>
              <w:bottom w:type="dxa" w:w="80"/>
              <w:right w:type="dxa" w:w="100"/>
            </w:tcMar>
            <w:vAlign w:val="top"/>
          </w:tcPr>
          <w:p>
            <w:pPr>
              <w:spacing w:after="0" w:line="260"/>
              <w:jc w:val="left"/>
            </w:pPr>
            <w:r>
              <w:rPr>
                <w:rFonts w:ascii="Arial" w:cs="Arial" w:eastAsia="Arial" w:hAnsi="Arial"/>
                <w:sz w:val="18"/>
                <w:szCs w:val="18"/>
              </w:rPr>
              <w:t xml:space="preserve">PARTIAL. "Founding member" social labels exist as cosmetic badges; no permanent ranking effect.</w:t>
            </w:r>
          </w:p>
        </w:tc>
        <w:tc>
          <w:tcPr>
            <w:tcW w:type="dxa" w:w="2150"/>
            <w:tcBorders>
              <w:top w:val="single" w:color="888888" w:sz="4"/>
              <w:left w:val="single" w:color="888888" w:sz="4"/>
              <w:bottom w:val="single" w:color="888888" w:sz="4"/>
              <w:right w:val="single" w:color="888888" w:sz="4"/>
            </w:tcBorders>
            <w:tcMar>
              <w:top w:type="dxa" w:w="80"/>
              <w:left w:type="dxa" w:w="100"/>
              <w:bottom w:type="dxa" w:w="80"/>
              <w:right w:type="dxa" w:w="100"/>
            </w:tcMar>
            <w:vAlign w:val="top"/>
          </w:tcPr>
          <w:p>
            <w:pPr>
              <w:spacing w:after="0" w:line="260"/>
              <w:jc w:val="left"/>
            </w:pPr>
            <w:r>
              <w:rPr>
                <w:rFonts w:ascii="Arial" w:cs="Arial" w:eastAsia="Arial" w:hAnsi="Arial"/>
                <w:sz w:val="18"/>
                <w:szCs w:val="18"/>
              </w:rPr>
              <w:t xml:space="preserve">NO.</w:t>
            </w:r>
          </w:p>
        </w:tc>
        <w:tc>
          <w:tcPr>
            <w:tcW w:type="dxa" w:w="2150"/>
            <w:tcBorders>
              <w:top w:val="single" w:color="888888" w:sz="4"/>
              <w:left w:val="single" w:color="888888" w:sz="4"/>
              <w:bottom w:val="single" w:color="888888" w:sz="4"/>
              <w:right w:val="single" w:color="888888" w:sz="4"/>
            </w:tcBorders>
            <w:tcMar>
              <w:top w:type="dxa" w:w="80"/>
              <w:left w:type="dxa" w:w="100"/>
              <w:bottom w:type="dxa" w:w="80"/>
              <w:right w:type="dxa" w:w="100"/>
            </w:tcMar>
            <w:vAlign w:val="top"/>
          </w:tcPr>
          <w:p>
            <w:pPr>
              <w:spacing w:after="0" w:line="260"/>
              <w:jc w:val="left"/>
            </w:pPr>
            <w:r>
              <w:rPr>
                <w:rFonts w:ascii="Arial" w:cs="Arial" w:eastAsia="Arial" w:hAnsi="Arial"/>
                <w:sz w:val="18"/>
                <w:szCs w:val="18"/>
              </w:rPr>
              <w:t xml:space="preserve">NO.</w:t>
            </w:r>
          </w:p>
        </w:tc>
        <w:tc>
          <w:tcPr>
            <w:tcW w:type="dxa" w:w="1508"/>
            <w:tcBorders>
              <w:top w:val="single" w:color="888888" w:sz="4"/>
              <w:left w:val="single" w:color="888888" w:sz="4"/>
              <w:bottom w:val="single" w:color="888888" w:sz="4"/>
              <w:right w:val="single" w:color="888888" w:sz="4"/>
            </w:tcBorders>
            <w:shd w:fill="F8CBAD" w:color="auto" w:val="clear"/>
            <w:tcMar>
              <w:top w:type="dxa" w:w="80"/>
              <w:left w:type="dxa" w:w="100"/>
              <w:bottom w:type="dxa" w:w="80"/>
              <w:right w:type="dxa" w:w="100"/>
            </w:tcMar>
            <w:vAlign w:val="top"/>
          </w:tcPr>
          <w:p>
            <w:pPr>
              <w:spacing w:after="0" w:line="260"/>
              <w:jc w:val="left"/>
            </w:pPr>
            <w:r>
              <w:rPr>
                <w:rFonts w:ascii="Arial" w:cs="Arial" w:eastAsia="Arial" w:hAnsi="Arial"/>
                <w:b/>
                <w:bCs/>
                <w:sz w:val="18"/>
                <w:szCs w:val="18"/>
              </w:rPr>
              <w:t xml:space="preserve">WEAK on patentability grounds (manner-of-manufacture exposure), regardless of prior-art result. This is a business-method risk, not a prior-art risk.</w:t>
            </w:r>
          </w:p>
        </w:tc>
      </w:tr>
      <w:tr>
        <w:tc>
          <w:tcPr>
            <w:tcW w:type="dxa" w:w="1700"/>
            <w:tcBorders>
              <w:top w:val="single" w:color="888888" w:sz="4"/>
              <w:left w:val="single" w:color="888888" w:sz="4"/>
              <w:bottom w:val="single" w:color="888888" w:sz="4"/>
              <w:right w:val="single" w:color="888888" w:sz="4"/>
            </w:tcBorders>
            <w:shd w:fill="EAF2F8" w:color="auto" w:val="clear"/>
            <w:tcMar>
              <w:top w:type="dxa" w:w="80"/>
              <w:left w:type="dxa" w:w="100"/>
              <w:bottom w:type="dxa" w:w="80"/>
              <w:right w:type="dxa" w:w="100"/>
            </w:tcMar>
            <w:vAlign w:val="top"/>
          </w:tcPr>
          <w:p>
            <w:pPr>
              <w:spacing w:after="0" w:line="260"/>
              <w:jc w:val="left"/>
            </w:pPr>
            <w:r>
              <w:rPr>
                <w:rFonts w:ascii="Arial" w:cs="Arial" w:eastAsia="Arial" w:hAnsi="Arial"/>
                <w:b/>
                <w:bCs/>
                <w:sz w:val="18"/>
                <w:szCs w:val="18"/>
              </w:rPr>
              <w:t xml:space="preserve">C7: Combination Claim (C1-C6 integrated)</w:t>
            </w:r>
          </w:p>
        </w:tc>
        <w:tc>
          <w:tcPr>
            <w:tcW w:type="dxa" w:w="2150"/>
            <w:tcBorders>
              <w:top w:val="single" w:color="888888" w:sz="4"/>
              <w:left w:val="single" w:color="888888" w:sz="4"/>
              <w:bottom w:val="single" w:color="888888" w:sz="4"/>
              <w:right w:val="single" w:color="888888" w:sz="4"/>
            </w:tcBorders>
            <w:tcMar>
              <w:top w:type="dxa" w:w="80"/>
              <w:left w:type="dxa" w:w="100"/>
              <w:bottom w:type="dxa" w:w="80"/>
              <w:right w:type="dxa" w:w="100"/>
            </w:tcMar>
            <w:vAlign w:val="top"/>
          </w:tcPr>
          <w:p>
            <w:pPr>
              <w:spacing w:after="0" w:line="260"/>
              <w:jc w:val="left"/>
            </w:pPr>
            <w:r>
              <w:rPr>
                <w:rFonts w:ascii="Arial" w:cs="Arial" w:eastAsia="Arial" w:hAnsi="Arial"/>
                <w:sz w:val="18"/>
                <w:szCs w:val="18"/>
              </w:rPr>
              <w:t xml:space="preserve">NO competitor integrates these six elements.</w:t>
            </w:r>
          </w:p>
        </w:tc>
        <w:tc>
          <w:tcPr>
            <w:tcW w:type="dxa" w:w="2150"/>
            <w:tcBorders>
              <w:top w:val="single" w:color="888888" w:sz="4"/>
              <w:left w:val="single" w:color="888888" w:sz="4"/>
              <w:bottom w:val="single" w:color="888888" w:sz="4"/>
              <w:right w:val="single" w:color="888888" w:sz="4"/>
            </w:tcBorders>
            <w:tcMar>
              <w:top w:type="dxa" w:w="80"/>
              <w:left w:type="dxa" w:w="100"/>
              <w:bottom w:type="dxa" w:w="80"/>
              <w:right w:type="dxa" w:w="100"/>
            </w:tcMar>
            <w:vAlign w:val="top"/>
          </w:tcPr>
          <w:p>
            <w:pPr>
              <w:spacing w:after="0" w:line="260"/>
              <w:jc w:val="left"/>
            </w:pPr>
            <w:r>
              <w:rPr>
                <w:rFonts w:ascii="Arial" w:cs="Arial" w:eastAsia="Arial" w:hAnsi="Arial"/>
                <w:sz w:val="18"/>
                <w:szCs w:val="18"/>
              </w:rPr>
              <w:t xml:space="preserve">NO.</w:t>
            </w:r>
          </w:p>
        </w:tc>
        <w:tc>
          <w:tcPr>
            <w:tcW w:type="dxa" w:w="2150"/>
            <w:tcBorders>
              <w:top w:val="single" w:color="888888" w:sz="4"/>
              <w:left w:val="single" w:color="888888" w:sz="4"/>
              <w:bottom w:val="single" w:color="888888" w:sz="4"/>
              <w:right w:val="single" w:color="888888" w:sz="4"/>
            </w:tcBorders>
            <w:tcMar>
              <w:top w:type="dxa" w:w="80"/>
              <w:left w:type="dxa" w:w="100"/>
              <w:bottom w:type="dxa" w:w="80"/>
              <w:right w:type="dxa" w:w="100"/>
            </w:tcMar>
            <w:vAlign w:val="top"/>
          </w:tcPr>
          <w:p>
            <w:pPr>
              <w:spacing w:after="0" w:line="260"/>
              <w:jc w:val="left"/>
            </w:pPr>
            <w:r>
              <w:rPr>
                <w:rFonts w:ascii="Arial" w:cs="Arial" w:eastAsia="Arial" w:hAnsi="Arial"/>
                <w:sz w:val="18"/>
                <w:szCs w:val="18"/>
              </w:rPr>
              <w:t xml:space="preserve">NO.</w:t>
            </w:r>
          </w:p>
        </w:tc>
        <w:tc>
          <w:tcPr>
            <w:tcW w:type="dxa" w:w="2150"/>
            <w:tcBorders>
              <w:top w:val="single" w:color="888888" w:sz="4"/>
              <w:left w:val="single" w:color="888888" w:sz="4"/>
              <w:bottom w:val="single" w:color="888888" w:sz="4"/>
              <w:right w:val="single" w:color="888888" w:sz="4"/>
            </w:tcBorders>
            <w:tcMar>
              <w:top w:type="dxa" w:w="80"/>
              <w:left w:type="dxa" w:w="100"/>
              <w:bottom w:type="dxa" w:w="80"/>
              <w:right w:type="dxa" w:w="100"/>
            </w:tcMar>
            <w:vAlign w:val="top"/>
          </w:tcPr>
          <w:p>
            <w:pPr>
              <w:spacing w:after="0" w:line="260"/>
              <w:jc w:val="left"/>
            </w:pPr>
            <w:r>
              <w:rPr>
                <w:rFonts w:ascii="Arial" w:cs="Arial" w:eastAsia="Arial" w:hAnsi="Arial"/>
                <w:sz w:val="18"/>
                <w:szCs w:val="18"/>
              </w:rPr>
              <w:t xml:space="preserve">NO.</w:t>
            </w:r>
          </w:p>
        </w:tc>
        <w:tc>
          <w:tcPr>
            <w:tcW w:type="dxa" w:w="2150"/>
            <w:tcBorders>
              <w:top w:val="single" w:color="888888" w:sz="4"/>
              <w:left w:val="single" w:color="888888" w:sz="4"/>
              <w:bottom w:val="single" w:color="888888" w:sz="4"/>
              <w:right w:val="single" w:color="888888" w:sz="4"/>
            </w:tcBorders>
            <w:tcMar>
              <w:top w:type="dxa" w:w="80"/>
              <w:left w:type="dxa" w:w="100"/>
              <w:bottom w:type="dxa" w:w="80"/>
              <w:right w:type="dxa" w:w="100"/>
            </w:tcMar>
            <w:vAlign w:val="top"/>
          </w:tcPr>
          <w:p>
            <w:pPr>
              <w:spacing w:after="0" w:line="260"/>
              <w:jc w:val="left"/>
            </w:pPr>
            <w:r>
              <w:rPr>
                <w:rFonts w:ascii="Arial" w:cs="Arial" w:eastAsia="Arial" w:hAnsi="Arial"/>
                <w:sz w:val="18"/>
                <w:szCs w:val="18"/>
              </w:rPr>
              <w:t xml:space="preserve">NO.</w:t>
            </w:r>
          </w:p>
        </w:tc>
        <w:tc>
          <w:tcPr>
            <w:tcW w:type="dxa" w:w="1508"/>
            <w:tcBorders>
              <w:top w:val="single" w:color="888888" w:sz="4"/>
              <w:left w:val="single" w:color="888888" w:sz="4"/>
              <w:bottom w:val="single" w:color="888888" w:sz="4"/>
              <w:right w:val="single" w:color="888888" w:sz="4"/>
            </w:tcBorders>
            <w:shd w:fill="E2EFD9" w:color="auto" w:val="clear"/>
            <w:tcMar>
              <w:top w:type="dxa" w:w="80"/>
              <w:left w:type="dxa" w:w="100"/>
              <w:bottom w:type="dxa" w:w="80"/>
              <w:right w:type="dxa" w:w="100"/>
            </w:tcMar>
            <w:vAlign w:val="top"/>
          </w:tcPr>
          <w:p>
            <w:pPr>
              <w:spacing w:after="0" w:line="260"/>
              <w:jc w:val="left"/>
            </w:pPr>
            <w:r>
              <w:rPr>
                <w:rFonts w:ascii="Arial" w:cs="Arial" w:eastAsia="Arial" w:hAnsi="Arial"/>
                <w:b/>
                <w:bCs/>
                <w:sz w:val="18"/>
                <w:szCs w:val="18"/>
              </w:rPr>
              <w:t xml:space="preserve">STRONG, conditional. Combination claims survive even with weak sub-claims, provided sufficient sub-claims are independently sustainable. Strengthen by curing C2 and C4.</w:t>
            </w:r>
          </w:p>
        </w:tc>
      </w:tr>
    </w:tbl>
    <w:p>
      <w:pPr>
        <w:spacing w:after="200" w:before="0" w:line="300"/>
        <w:jc w:val="both"/>
      </w:pPr>
      <w:r>
        <w:rPr>
          <w:rFonts w:ascii="Arial" w:cs="Arial" w:eastAsia="Arial" w:hAnsi="Arial"/>
          <w:i/>
          <w:iCs/>
          <w:sz w:val="18"/>
          <w:szCs w:val="18"/>
        </w:rPr>
        <w:t xml:space="preserve">Shading: green = robust; amber = redraft strongly recommended; red = materially exposed in current form.</w:t>
      </w:r>
    </w:p>
    <w:p>
      <w:pPr>
        <w:sectPr>
          <w:headerReference w:type="default" r:id="rId9"/>
          <w:footerReference w:type="default" r:id="rId10"/>
          <w:pgSz w:w="16838" w:h="11906" w:orient="landscape"/>
          <w:pgMar w:top="1440" w:right="1440" w:bottom="1440" w:left="1440" w:header="708" w:footer="708" w:gutter="0"/>
          <w:pgNumType/>
          <w:docGrid w:linePitch="360"/>
        </w:sectPr>
      </w:pPr>
    </w:p>
    <w:p>
      <w:pPr>
        <w:pStyle w:val="Heading2"/>
        <w:spacing w:after="140" w:before="280"/>
      </w:pPr>
      <w:r>
        <w:rPr>
          <w:rFonts w:ascii="Arial" w:cs="Arial" w:eastAsia="Arial" w:hAnsi="Arial"/>
          <w:b/>
          <w:bCs/>
          <w:color w:val="1F3864"/>
          <w:sz w:val="26"/>
          <w:szCs w:val="26"/>
        </w:rPr>
        <w:t xml:space="preserve">3.2  Narrative analysis — the three most vulnerable claims</w:t>
      </w:r>
    </w:p>
    <w:p>
      <w:pPr>
        <w:pStyle w:val="Heading3"/>
        <w:spacing w:after="100" w:before="200"/>
      </w:pPr>
      <w:r>
        <w:rPr>
          <w:rFonts w:ascii="Arial" w:cs="Arial" w:eastAsia="Arial" w:hAnsi="Arial"/>
          <w:b/>
          <w:bCs/>
          <w:color w:val="2E74B5"/>
          <w:sz w:val="23"/>
          <w:szCs w:val="23"/>
        </w:rPr>
        <w:t xml:space="preserve">3.2.1  Claim 2 — Tuppence Introduction Currency</w:t>
      </w:r>
    </w:p>
    <w:p>
      <w:pPr>
        <w:spacing w:after="120" w:before="0" w:line="300"/>
        <w:jc w:val="both"/>
      </w:pPr>
      <w:r>
        <w:rPr>
          <w:rFonts w:ascii="Arial" w:cs="Arial" w:eastAsia="Arial" w:hAnsi="Arial"/>
          <w:sz w:val="22"/>
          <w:szCs w:val="22"/>
        </w:rPr>
        <w:t xml:space="preserve">Claim 2 is the single most exposed independent claim. Bark.com's lead-credit system is, in substance, the same mechanism: a non-transferable platform credit, purchased in bundles, spent atomically to contact a counterparty, with the credit balance contributing to access rights on the platform. Thumbtack's credit-and-instant-match model is similarly close. A PCT examiner at the EPO or USPTO will, with high probability, cite Bark.com (and likely a 2015-era US patent application family covering pay-per-lead marketplaces, e.g. US 2014/0040028 "Marketplace for Service Provider Leads" and related family members) against this claim.</w:t>
      </w:r>
    </w:p>
    <w:p>
      <w:pPr>
        <w:spacing w:after="120" w:before="0" w:line="300"/>
        <w:jc w:val="both"/>
      </w:pPr>
      <w:r>
        <w:rPr>
          <w:rFonts w:ascii="Arial" w:cs="Arial" w:eastAsia="Arial" w:hAnsi="Arial"/>
          <w:sz w:val="22"/>
          <w:szCs w:val="22"/>
        </w:rPr>
        <w:t xml:space="preserve">What distinguishes TrustSquare's implementation is not the existence of a credit, but four narrower features. First, the direction of expenditure: in Bark and Thumbtack the seller (the Pro) pays to receive contact with a buyer; in TrustSquare the buyer pays to initiate contact with the seller. This inverts the spam-economic dynamic and is technically reflected in the schema (introductions.buyer_email, not introductions.seller_email, as the spending key). Second, the absence of any inter-user transfer endpoint: the API surface includes no operation that moves Tuppence between users. Third, atomic restitution-on-decline: the partial-refund logic on a state transition by the counterparty is, on present search, not reproduced in the prior art. Fourth, the contribution of expenditure volume (and acceptance ratio) as an input to the counterparty's reputation score, creating a closed feedback loop.</w:t>
      </w:r>
    </w:p>
    <w:p>
      <w:pPr>
        <w:spacing w:after="120" w:before="0" w:line="300"/>
        <w:jc w:val="both"/>
      </w:pPr>
      <w:r>
        <w:rPr>
          <w:rFonts w:ascii="Arial" w:cs="Arial" w:eastAsia="Arial" w:hAnsi="Arial"/>
          <w:sz w:val="22"/>
          <w:szCs w:val="22"/>
        </w:rPr>
        <w:t xml:space="preserve">Recommendation: redraft Claim 2 to recite these four limitations expressly. The redraft is set out in Section 8.2 of this memorandum.</w:t>
      </w:r>
    </w:p>
    <w:p>
      <w:pPr>
        <w:pStyle w:val="Heading3"/>
        <w:spacing w:after="100" w:before="200"/>
      </w:pPr>
      <w:r>
        <w:rPr>
          <w:rFonts w:ascii="Arial" w:cs="Arial" w:eastAsia="Arial" w:hAnsi="Arial"/>
          <w:b/>
          <w:bCs/>
          <w:color w:val="2E74B5"/>
          <w:sz w:val="23"/>
          <w:szCs w:val="23"/>
        </w:rPr>
        <w:t xml:space="preserve">3.2.2  Claim 4 — Trust Score Composite</w:t>
      </w:r>
    </w:p>
    <w:p>
      <w:pPr>
        <w:spacing w:after="120" w:before="0" w:line="300"/>
        <w:jc w:val="both"/>
      </w:pPr>
      <w:r>
        <w:rPr>
          <w:rFonts w:ascii="Arial" w:cs="Arial" w:eastAsia="Arial" w:hAnsi="Arial"/>
          <w:sz w:val="22"/>
          <w:szCs w:val="22"/>
        </w:rPr>
        <w:t xml:space="preserve">Server-computed, multi-input reputation scoring is one of the most heavily prior-art-ed software patterns in marketplace and platform IP. Examples include eBay's seller feedback score (filed 1998), Uber driver rating, Airbnb Superhost status, Trustpilot TrustScore (server-side composite), and LinkedIn's Social Selling Index. The "no self-reporting" exclusion is a feature of essentially every well-designed reputation system; it is not an inventive step but rather the obvious response to manipulation risk. As currently drafted Claim 4 reads on at least three of the cited systems.</w:t>
      </w:r>
    </w:p>
    <w:p>
      <w:pPr>
        <w:spacing w:after="120" w:before="0" w:line="300"/>
        <w:jc w:val="both"/>
      </w:pPr>
      <w:r>
        <w:rPr>
          <w:rFonts w:ascii="Arial" w:cs="Arial" w:eastAsia="Arial" w:hAnsi="Arial"/>
          <w:sz w:val="22"/>
          <w:szCs w:val="22"/>
        </w:rPr>
        <w:t xml:space="preserve">Two paths forward. Path A (narrower): redraft the claim to recite specific tamper-prevention mechanisms (write-only audit logging of each input signal, cryptographic binding of signals to a server-side timestamp, deterministic recomputation on each signal event, and architectural prohibition on user-initiated mutation of the value). This is harder to invalidate but is also a narrower scope. Path B (combination strategy): demote Claim 4 to a dependent claim under Claim 7, surrendering its independent grant prospect but preserving its contribution to combination novelty. The instructed firm should choose between paths based on the desired enforcement strategy. The default recommendation is Path A, with the redraft at Section 8.4.</w:t>
      </w:r>
    </w:p>
    <w:p>
      <w:pPr>
        <w:pStyle w:val="Heading3"/>
        <w:spacing w:after="100" w:before="200"/>
      </w:pPr>
      <w:r>
        <w:rPr>
          <w:rFonts w:ascii="Arial" w:cs="Arial" w:eastAsia="Arial" w:hAnsi="Arial"/>
          <w:b/>
          <w:bCs/>
          <w:color w:val="2E74B5"/>
          <w:sz w:val="23"/>
          <w:szCs w:val="23"/>
        </w:rPr>
        <w:t xml:space="preserve">3.2.3  Claim 6 — Founding Seller Cohort</w:t>
      </w:r>
    </w:p>
    <w:p>
      <w:pPr>
        <w:spacing w:after="120" w:before="0" w:line="300"/>
        <w:jc w:val="both"/>
      </w:pPr>
      <w:r>
        <w:rPr>
          <w:rFonts w:ascii="Arial" w:cs="Arial" w:eastAsia="Arial" w:hAnsi="Arial"/>
          <w:sz w:val="22"/>
          <w:szCs w:val="22"/>
        </w:rPr>
        <w:t xml:space="preserve">Claim 6 is at high risk under section 25(2)(c) and (f) of the Act. As drafted, the claim recites a closed-cardinality cohort whose members receive permanent priority placement in search ranking. Reduced to its technical essence, the claim describes (a) an immutable boolean flag on a defined subset of listing records, and (b) a SQL ORDER BY clause that applies a boost to records bearing the flag. The cohort-size determination is a business decision; the priority-placement is a ranking-rule choice; both elements lie squarely within the "scheme, rule or method ... for doing business" exclusion in section 25(2)(c) and are not rescued by being implemented on a computer (section 25(2)(f) and the "as such" qualifier in section 25(3)).</w:t>
      </w:r>
    </w:p>
    <w:p>
      <w:pPr>
        <w:spacing w:after="120" w:before="0" w:line="300"/>
        <w:jc w:val="both"/>
      </w:pPr>
      <w:r>
        <w:rPr>
          <w:rFonts w:ascii="Arial" w:cs="Arial" w:eastAsia="Arial" w:hAnsi="Arial"/>
          <w:sz w:val="22"/>
          <w:szCs w:val="22"/>
        </w:rPr>
        <w:t xml:space="preserve">Recommendation: do not file Claim 6 in its current form. Two acceptable alternatives. Alternative A (preferred): demote to a dependent claim under Claim 5 (geo-hierarchical visibility), where the cohort-priority element becomes one element of a query-rewriting algorithm with broader technical character. Alternative B: redraft as a cold-start ranking augmentation that recites specific technical limitations — bounded-magnitude boost, fixed cardinality per geographic region enforced as a database-level integrity constraint, and an explicit collision-avoidance rule. The redrafted Alternative B language appears at Section 8.6.</w:t>
      </w:r>
    </w:p>
    <w:p>
      <w:pPr>
        <w:pStyle w:val="Heading1"/>
        <w:spacing w:after="180" w:before="360"/>
      </w:pPr>
      <w:r>
        <w:rPr>
          <w:rFonts w:ascii="Arial" w:cs="Arial" w:eastAsia="Arial" w:hAnsi="Arial"/>
          <w:b/>
          <w:bCs/>
          <w:color w:val="1F3864"/>
          <w:sz w:val="32"/>
          <w:szCs w:val="32"/>
        </w:rPr>
        <w:t xml:space="preserve">4.  Task 2 — Role-Emergence Novelty Deep Dive (Claim 1)</w:t>
      </w:r>
    </w:p>
    <w:p>
      <w:pPr>
        <w:pStyle w:val="Heading2"/>
        <w:spacing w:after="140" w:before="280"/>
      </w:pPr>
      <w:r>
        <w:rPr>
          <w:rFonts w:ascii="Arial" w:cs="Arial" w:eastAsia="Arial" w:hAnsi="Arial"/>
          <w:b/>
          <w:bCs/>
          <w:color w:val="1F3864"/>
          <w:sz w:val="26"/>
          <w:szCs w:val="26"/>
        </w:rPr>
        <w:t xml:space="preserve">4.1  Posited inventive concept</w:t>
      </w:r>
    </w:p>
    <w:p>
      <w:pPr>
        <w:spacing w:after="120" w:before="0" w:line="300"/>
        <w:jc w:val="both"/>
      </w:pPr>
      <w:r>
        <w:rPr>
          <w:rFonts w:ascii="Arial" w:cs="Arial" w:eastAsia="Arial" w:hAnsi="Arial"/>
          <w:sz w:val="22"/>
          <w:szCs w:val="22"/>
        </w:rPr>
        <w:t xml:space="preserve">The whitepaper frames the inventive concept as follows: user role (buyer vs. seller) is not stored as a database attribute on the users table; it is derived at runtime from the user's presence (or absence) across the listings and introductions tables. The schema is:</w:t>
      </w:r>
    </w:p>
    <w:p>
      <w:pPr>
        <w:spacing w:after="120" w:before="0" w:line="300"/>
        <w:ind w:left="360"/>
        <w:jc w:val="both"/>
      </w:pPr>
      <w:r>
        <w:rPr>
          <w:rFonts w:ascii="Arial" w:cs="Arial" w:eastAsia="Arial" w:hAnsi="Arial"/>
          <w:i/>
          <w:iCs/>
          <w:sz w:val="22"/>
          <w:szCs w:val="22"/>
        </w:rPr>
        <w:t xml:space="preserve">users(id, email, name, tuppence_balance, photo_url, created_at)</w:t>
      </w:r>
    </w:p>
    <w:p>
      <w:pPr>
        <w:spacing w:after="120" w:before="0" w:line="300"/>
        <w:ind w:left="360"/>
        <w:jc w:val="both"/>
      </w:pPr>
      <w:r>
        <w:rPr>
          <w:rFonts w:ascii="Arial" w:cs="Arial" w:eastAsia="Arial" w:hAnsi="Arial"/>
          <w:i/>
          <w:iCs/>
          <w:sz w:val="22"/>
          <w:szCs w:val="22"/>
        </w:rPr>
        <w:t xml:space="preserve">listings(id, seller_email, category, city_id, suburb_id, status, trust_score)</w:t>
      </w:r>
    </w:p>
    <w:p>
      <w:pPr>
        <w:spacing w:after="120" w:before="0" w:line="300"/>
        <w:ind w:left="360"/>
        <w:jc w:val="both"/>
      </w:pPr>
      <w:r>
        <w:rPr>
          <w:rFonts w:ascii="Arial" w:cs="Arial" w:eastAsia="Arial" w:hAnsi="Arial"/>
          <w:i/>
          <w:iCs/>
          <w:sz w:val="22"/>
          <w:szCs w:val="22"/>
        </w:rPr>
        <w:t xml:space="preserve">introductions(id, buyer_email, listing_id, tuppence_cost, status, created_at)</w:t>
      </w:r>
    </w:p>
    <w:p>
      <w:pPr>
        <w:pStyle w:val="Heading2"/>
        <w:spacing w:after="140" w:before="280"/>
      </w:pPr>
      <w:r>
        <w:rPr>
          <w:rFonts w:ascii="Arial" w:cs="Arial" w:eastAsia="Arial" w:hAnsi="Arial"/>
          <w:b/>
          <w:bCs/>
          <w:color w:val="1F3864"/>
          <w:sz w:val="26"/>
          <w:szCs w:val="26"/>
        </w:rPr>
        <w:t xml:space="preserve">4.2  Novelty — section 25(5) anticipation analysis</w:t>
      </w:r>
    </w:p>
    <w:p>
      <w:pPr>
        <w:spacing w:after="120" w:before="0" w:line="300"/>
        <w:jc w:val="both"/>
      </w:pPr>
      <w:r>
        <w:rPr>
          <w:rFonts w:ascii="Arial" w:cs="Arial" w:eastAsia="Arial" w:hAnsi="Arial"/>
          <w:sz w:val="22"/>
          <w:szCs w:val="22"/>
        </w:rPr>
        <w:t xml:space="preserve">The strict anticipation test in SA practice requires that a single prior-art reference disclose every element of the claim, in the same combination, capable of being practised by the skilled addressee without invention. On the prior-art search conducted (Thumbtack, Bark, LinkedIn, Gumtree, TaskRabbit), none of the cited platforms discloses the combination: (i) a unified user record with no role attribute, (ii) a separate transaction-state store partitioned by role-implicit foreign keys, and (iii) runtime authorisation conditioned solely on presence in the transaction-state store. Gumtree comes closest (no role concept at all) but lacks the structured introductions object and the runtime-derived authorisation step; in Gumtree, role is simply absent rather than derived. On the search material reviewed, Claim 1 is NOT anticipated.</w:t>
      </w:r>
    </w:p>
    <w:p>
      <w:pPr>
        <w:spacing w:after="120" w:before="0" w:line="300"/>
        <w:jc w:val="both"/>
      </w:pPr>
      <w:r>
        <w:rPr>
          <w:rFonts w:ascii="Arial" w:cs="Arial" w:eastAsia="Arial" w:hAnsi="Arial"/>
          <w:sz w:val="22"/>
          <w:szCs w:val="22"/>
        </w:rPr>
        <w:t xml:space="preserve">However, the search has been conducted against publicly observable behaviour of the five named platforms. It is possible — and the instructed firm should confirm — that internal schemas of larger marketplaces (Etsy, eBay, Airbnb) implement substantially the same pattern. Schema-level prior art is rarely public. The instructed firm should commission a targeted patent-literature search at the USPTO and EPO for terms including "derived role", "role inference", "unified user account marketplace", and the IPC classification G06Q 30/00 family before finalising filing.</w:t>
      </w:r>
    </w:p>
    <w:p>
      <w:pPr>
        <w:pStyle w:val="Heading2"/>
        <w:spacing w:after="140" w:before="280"/>
      </w:pPr>
      <w:r>
        <w:rPr>
          <w:rFonts w:ascii="Arial" w:cs="Arial" w:eastAsia="Arial" w:hAnsi="Arial"/>
          <w:b/>
          <w:bCs/>
          <w:color w:val="1F3864"/>
          <w:sz w:val="26"/>
          <w:szCs w:val="26"/>
        </w:rPr>
        <w:t xml:space="preserve">4.3  Inventive step — section 25(10) obviousness analysis</w:t>
      </w:r>
    </w:p>
    <w:p>
      <w:pPr>
        <w:spacing w:after="120" w:before="0" w:line="300"/>
        <w:jc w:val="both"/>
      </w:pPr>
      <w:r>
        <w:rPr>
          <w:rFonts w:ascii="Arial" w:cs="Arial" w:eastAsia="Arial" w:hAnsi="Arial"/>
          <w:sz w:val="22"/>
          <w:szCs w:val="22"/>
        </w:rPr>
        <w:t xml:space="preserve">This is where the present drafting is weakest. The skilled addressee in this domain is a database engineer competent in relational schema design and a backend engineer competent in API authorisation. To such a skilled addressee, the choice between (a) persisting a role attribute on the users table and (b) deriving role from foreign-key presence in transaction tables is a routine normalisation choice. Both options would be considered, and the latter would be selected whenever the modelled domain admits of overlapping roles (a person who is both a buyer and a seller). The selection is not non-obvious; it follows from standard database normalisation principles (Third Normal Form / Boyce-Codd) and the Open-Closed Principle in API design.</w:t>
      </w:r>
    </w:p>
    <w:p>
      <w:pPr>
        <w:spacing w:after="120" w:before="0" w:line="300"/>
        <w:jc w:val="both"/>
      </w:pPr>
      <w:r>
        <w:rPr>
          <w:rFonts w:ascii="Arial" w:cs="Arial" w:eastAsia="Arial" w:hAnsi="Arial"/>
          <w:sz w:val="22"/>
          <w:szCs w:val="22"/>
        </w:rPr>
        <w:t xml:space="preserve">Restated: the database design is a sensible engineering choice, but a sensible engineering choice is not, without more, an inventive step. The claim as currently drafted is therefore vulnerable on inventive-step grounds. The technical-effect contribution — that the same user account exhibits buyer and seller affordances concurrently without an account-switching ceremony — is a result of the schema choice but is also the natural consequence of any unified-user-account architecture (including those using a persisted role attribute with a multi-valued type or bitmask). The schema choice and the technical effect are not sufficiently bound together to demonstrate non-obviousness.</w:t>
      </w:r>
    </w:p>
    <w:p>
      <w:pPr>
        <w:pStyle w:val="Heading2"/>
        <w:spacing w:after="140" w:before="280"/>
      </w:pPr>
      <w:r>
        <w:rPr>
          <w:rFonts w:ascii="Arial" w:cs="Arial" w:eastAsia="Arial" w:hAnsi="Arial"/>
          <w:b/>
          <w:bCs/>
          <w:color w:val="1F3864"/>
          <w:sz w:val="26"/>
          <w:szCs w:val="26"/>
        </w:rPr>
        <w:t xml:space="preserve">4.4  Manner-of-manufacture — section 25(2)(f) analysis</w:t>
      </w:r>
    </w:p>
    <w:p>
      <w:pPr>
        <w:spacing w:after="120" w:before="0" w:line="300"/>
        <w:jc w:val="both"/>
      </w:pPr>
      <w:r>
        <w:rPr>
          <w:rFonts w:ascii="Arial" w:cs="Arial" w:eastAsia="Arial" w:hAnsi="Arial"/>
          <w:sz w:val="22"/>
          <w:szCs w:val="22"/>
        </w:rPr>
        <w:t xml:space="preserve">Section 25(2)(f) excludes "a program for a computer" from patentability, qualified by section 25(3) (only "as such"). Following the EPO COMVIK approach (which is the dominant influence on SA practice on this question), a claim survives the exclusion if it makes a contribution that is technical in character beyond the mere execution of program logic on a computer. As currently drafted, Claim 1 reads as a data-modelling preference plus a runtime derivation step. The technical effect (a single user account performing two roles) is a business outcome, not a technical one — it does not, for example, reduce computational cost, improve memory utilisation, eliminate a data-integrity failure mode, or address a security vulnerability.</w:t>
      </w:r>
    </w:p>
    <w:p>
      <w:pPr>
        <w:spacing w:after="120" w:before="0" w:line="300"/>
        <w:jc w:val="both"/>
      </w:pPr>
      <w:r>
        <w:rPr>
          <w:rFonts w:ascii="Arial" w:cs="Arial" w:eastAsia="Arial" w:hAnsi="Arial"/>
          <w:sz w:val="22"/>
          <w:szCs w:val="22"/>
        </w:rPr>
        <w:t xml:space="preserve">The claim therefore lies on the wrong side of the COMVIK line in its present form. To move it to the right side, the redraft must (i) tie the derivation step to an authorisation-engine technical artefact (a runtime component, not just a data-modelling choice), and (ii) recite a technical effect — for example, that the scheme eliminates the schema-migration class of operations that would otherwise be required to transition a user between roles. The redrafted Claim 1 at Section 8.1 effects both changes.</w:t>
      </w:r>
    </w:p>
    <w:p>
      <w:pPr>
        <w:pStyle w:val="Heading2"/>
        <w:spacing w:after="140" w:before="280"/>
      </w:pPr>
      <w:r>
        <w:rPr>
          <w:rFonts w:ascii="Arial" w:cs="Arial" w:eastAsia="Arial" w:hAnsi="Arial"/>
          <w:b/>
          <w:bCs/>
          <w:color w:val="1F3864"/>
          <w:sz w:val="26"/>
          <w:szCs w:val="26"/>
        </w:rPr>
        <w:t xml:space="preserve">4.5  Proposed amended Claim 1 (formal claim style)</w:t>
      </w:r>
    </w:p>
    <w:p>
      <w:pPr>
        <w:spacing w:after="120" w:before="0" w:line="300"/>
        <w:jc w:val="both"/>
      </w:pPr>
      <w:r>
        <w:rPr>
          <w:rFonts w:ascii="Arial" w:cs="Arial" w:eastAsia="Arial" w:hAnsi="Arial"/>
          <w:sz w:val="22"/>
          <w:szCs w:val="22"/>
        </w:rPr>
        <w:t xml:space="preserve">The following redraft, which should be substituted for the existing Claim 1 in the provisional, materially strengthens novelty (by reciting an authorisation-engine artefact), inventive step (by reciting a technical effect — the elimination of schema-migration operations on role transition), and manner-of-manufacture compliance (by anchoring the contribution in a runtime technical component rather than a data-modelling choice):</w:t>
      </w:r>
    </w:p>
    <w:p>
      <w:pPr>
        <w:spacing w:after="60" w:before="0" w:line="300"/>
        <w:jc w:val="both"/>
      </w:pPr>
      <w:r>
        <w:rPr>
          <w:rFonts w:ascii="Arial" w:cs="Arial" w:eastAsia="Arial" w:hAnsi="Arial"/>
          <w:b/>
          <w:bCs/>
          <w:sz w:val="22"/>
          <w:szCs w:val="22"/>
        </w:rPr>
        <w:t xml:space="preserve">Claim 1 (amended):</w:t>
      </w:r>
    </w:p>
    <w:p>
      <w:pPr>
        <w:spacing w:after="120" w:before="0" w:line="300"/>
        <w:ind w:left="360"/>
        <w:jc w:val="both"/>
      </w:pPr>
      <w:r>
        <w:rPr>
          <w:rFonts w:ascii="Arial" w:cs="Arial" w:eastAsia="Arial" w:hAnsi="Arial"/>
          <w:sz w:val="22"/>
          <w:szCs w:val="22"/>
        </w:rPr>
        <w:t xml:space="preserve">A computer-implemented marketplace platform comprising:</w:t>
      </w:r>
    </w:p>
    <w:p>
      <w:pPr>
        <w:spacing w:after="120" w:before="0" w:line="300"/>
        <w:ind w:left="720" w:hanging="240"/>
        <w:jc w:val="both"/>
      </w:pPr>
      <w:r>
        <w:rPr>
          <w:rFonts w:ascii="Arial" w:cs="Arial" w:eastAsia="Arial" w:hAnsi="Arial"/>
          <w:sz w:val="22"/>
          <w:szCs w:val="22"/>
        </w:rPr>
        <w:t xml:space="preserve">(a) a user-account data store in which each user record consists of identity and balance attributes and contains no persisted attribute indicative of buyer-role or seller-role membership;</w:t>
      </w:r>
    </w:p>
    <w:p>
      <w:pPr>
        <w:spacing w:after="120" w:before="0" w:line="300"/>
        <w:ind w:left="720" w:hanging="240"/>
        <w:jc w:val="both"/>
      </w:pPr>
      <w:r>
        <w:rPr>
          <w:rFonts w:ascii="Arial" w:cs="Arial" w:eastAsia="Arial" w:hAnsi="Arial"/>
          <w:sz w:val="22"/>
          <w:szCs w:val="22"/>
        </w:rPr>
        <w:t xml:space="preserve">(b) a transaction-state data store comprising at least (i) a listings relation in which each listing record references exactly one user record via a single foreign key denoting offer-side participation, and (ii) an introductions relation in which each introduction record references at least one user record via a foreign key denoting demand-side participation, both foreign keys referencing the same user-account data store;</w:t>
      </w:r>
    </w:p>
    <w:p>
      <w:pPr>
        <w:spacing w:after="120" w:before="0" w:line="300"/>
        <w:ind w:left="720" w:hanging="240"/>
        <w:jc w:val="both"/>
      </w:pPr>
      <w:r>
        <w:rPr>
          <w:rFonts w:ascii="Arial" w:cs="Arial" w:eastAsia="Arial" w:hAnsi="Arial"/>
          <w:sz w:val="22"/>
          <w:szCs w:val="22"/>
        </w:rPr>
        <w:t xml:space="preserve">(c) a runtime authorisation engine configured, on each authenticated request, to compute a role-state set R ⊆ {offer-side, demand-side} for the requesting user solely as a function of the requesting user's presence in the transaction-state data store, without reference to any persisted attribute on the user-account data store;</w:t>
      </w:r>
    </w:p>
    <w:p>
      <w:pPr>
        <w:spacing w:after="120" w:before="0" w:line="300"/>
        <w:ind w:left="720" w:hanging="240"/>
        <w:jc w:val="both"/>
      </w:pPr>
      <w:r>
        <w:rPr>
          <w:rFonts w:ascii="Arial" w:cs="Arial" w:eastAsia="Arial" w:hAnsi="Arial"/>
          <w:sz w:val="22"/>
          <w:szCs w:val="22"/>
        </w:rPr>
        <w:t xml:space="preserve">(d) a presentation-layer middleware configured to render, in response to each request, only those user-interface affordances admitted by R, such that a single user record exhibits both offer-side and demand-side affordances concurrently when R = {offer-side, demand-side}; and</w:t>
      </w:r>
    </w:p>
    <w:p>
      <w:pPr>
        <w:spacing w:after="120" w:before="0" w:line="300"/>
        <w:ind w:left="720" w:hanging="240"/>
        <w:jc w:val="both"/>
      </w:pPr>
      <w:r>
        <w:rPr>
          <w:rFonts w:ascii="Arial" w:cs="Arial" w:eastAsia="Arial" w:hAnsi="Arial"/>
          <w:sz w:val="22"/>
          <w:szCs w:val="22"/>
        </w:rPr>
        <w:t xml:space="preserve">(e) wherein the platform is configured to admit transitions of the requesting user's role-state set R, including transitions between empty, singleton and full role-state sets, without modification of, or any write operation to, the user-account data store, and without invocation of any schema-migration procedure.</w:t>
      </w:r>
    </w:p>
    <w:p>
      <w:pPr>
        <w:spacing w:after="60" w:before="200" w:line="300"/>
        <w:jc w:val="both"/>
      </w:pPr>
      <w:r>
        <w:rPr>
          <w:rFonts w:ascii="Arial" w:cs="Arial" w:eastAsia="Arial" w:hAnsi="Arial"/>
          <w:b/>
          <w:bCs/>
          <w:sz w:val="22"/>
          <w:szCs w:val="22"/>
        </w:rPr>
        <w:t xml:space="preserve">Suggested dependent claims to Claim 1:</w:t>
      </w:r>
    </w:p>
    <w:p>
      <w:pPr>
        <w:pStyle w:val="ListParagraph"/>
        <w:numPr>
          <w:ilvl w:val="0"/>
          <w:numId w:val="2"/>
        </w:numPr>
        <w:spacing w:after="80" w:line="280"/>
      </w:pPr>
      <w:r>
        <w:rPr>
          <w:rFonts w:ascii="Arial" w:cs="Arial" w:eastAsia="Arial" w:hAnsi="Arial"/>
          <w:sz w:val="22"/>
          <w:szCs w:val="22"/>
        </w:rPr>
        <w:t xml:space="preserve">Where the runtime authorisation engine is invoked on each authenticated request and the result is not persisted between requests.</w:t>
      </w:r>
    </w:p>
    <w:p>
      <w:pPr>
        <w:pStyle w:val="ListParagraph"/>
        <w:numPr>
          <w:ilvl w:val="0"/>
          <w:numId w:val="2"/>
        </w:numPr>
        <w:spacing w:after="80" w:line="280"/>
      </w:pPr>
      <w:r>
        <w:rPr>
          <w:rFonts w:ascii="Arial" w:cs="Arial" w:eastAsia="Arial" w:hAnsi="Arial"/>
          <w:sz w:val="22"/>
          <w:szCs w:val="22"/>
        </w:rPr>
        <w:t xml:space="preserve">Where the authorisation engine evaluates the role-state set in constant time with respect to the size of the transaction-state data store, by means of indexed presence-check queries.</w:t>
      </w:r>
    </w:p>
    <w:p>
      <w:pPr>
        <w:pStyle w:val="ListParagraph"/>
        <w:numPr>
          <w:ilvl w:val="0"/>
          <w:numId w:val="2"/>
        </w:numPr>
        <w:spacing w:after="80" w:line="280"/>
      </w:pPr>
      <w:r>
        <w:rPr>
          <w:rFonts w:ascii="Arial" w:cs="Arial" w:eastAsia="Arial" w:hAnsi="Arial"/>
          <w:sz w:val="22"/>
          <w:szCs w:val="22"/>
        </w:rPr>
        <w:t xml:space="preserve">Where the platform exposes a single unified application-programming-interface surface to all authenticated users, the response to each endpoint being conditioned on the runtime-computed role-state set.</w:t>
      </w:r>
    </w:p>
    <w:p>
      <w:pPr>
        <w:pStyle w:val="ListParagraph"/>
        <w:numPr>
          <w:ilvl w:val="0"/>
          <w:numId w:val="2"/>
        </w:numPr>
        <w:spacing w:after="80" w:line="280"/>
      </w:pPr>
      <w:r>
        <w:rPr>
          <w:rFonts w:ascii="Arial" w:cs="Arial" w:eastAsia="Arial" w:hAnsi="Arial"/>
          <w:sz w:val="22"/>
          <w:szCs w:val="22"/>
        </w:rPr>
        <w:t xml:space="preserve">Where the transition of a user between role-state sets occurs as a side-effect of a successful transaction-state write operation, with no separate role-assignment operation being required.</w:t>
      </w:r>
    </w:p>
    <w:p>
      <w:pPr>
        <w:pStyle w:val="Heading1"/>
        <w:spacing w:after="180" w:before="360"/>
      </w:pPr>
      <w:r>
        <w:rPr>
          <w:rFonts w:ascii="Arial" w:cs="Arial" w:eastAsia="Arial" w:hAnsi="Arial"/>
          <w:b/>
          <w:bCs/>
          <w:color w:val="1F3864"/>
          <w:sz w:val="32"/>
          <w:szCs w:val="32"/>
        </w:rPr>
        <w:t xml:space="preserve">5.  Task 3 — Tuppence Regulatory-Classification Analysis</w:t>
      </w:r>
    </w:p>
    <w:p>
      <w:pPr>
        <w:spacing w:after="120" w:before="0" w:line="300"/>
        <w:jc w:val="both"/>
      </w:pPr>
      <w:r>
        <w:rPr>
          <w:rFonts w:ascii="Arial" w:cs="Arial" w:eastAsia="Arial" w:hAnsi="Arial"/>
          <w:sz w:val="22"/>
          <w:szCs w:val="22"/>
        </w:rPr>
        <w:t xml:space="preserve">Tuppence's regulatory exposure is assessed against three statutes that, in combination, govern the perimeter of financial regulation in the Republic. The four properties of Tuppence on which the analysis turns are: (i) non-transferable between users; (ii) non-withdrawable as cash; (iii) consumed ("burned") on use; and (iv) partially restituted on a counterparty's express decline state-transition.</w:t>
      </w:r>
    </w:p>
    <w:p>
      <w:pPr>
        <w:pStyle w:val="Heading2"/>
        <w:spacing w:after="140" w:before="280"/>
      </w:pPr>
      <w:r>
        <w:rPr>
          <w:rFonts w:ascii="Arial" w:cs="Arial" w:eastAsia="Arial" w:hAnsi="Arial"/>
          <w:b/>
          <w:bCs/>
          <w:color w:val="1F3864"/>
          <w:sz w:val="26"/>
          <w:szCs w:val="26"/>
        </w:rPr>
        <w:t xml:space="preserve">5.1  Financial Markets Act 19 of 2012</w:t>
      </w:r>
    </w:p>
    <w:p>
      <w:pPr>
        <w:spacing w:after="60" w:before="0" w:line="300"/>
        <w:jc w:val="both"/>
      </w:pPr>
      <w:r>
        <w:rPr>
          <w:rFonts w:ascii="Arial" w:cs="Arial" w:eastAsia="Arial" w:hAnsi="Arial"/>
          <w:b/>
          <w:bCs/>
          <w:sz w:val="22"/>
          <w:szCs w:val="22"/>
        </w:rPr>
        <w:t xml:space="preserve">Applicable test:</w:t>
      </w:r>
    </w:p>
    <w:p>
      <w:pPr>
        <w:spacing w:after="120" w:before="0" w:line="300"/>
        <w:jc w:val="both"/>
      </w:pPr>
      <w:r>
        <w:rPr>
          <w:rFonts w:ascii="Arial" w:cs="Arial" w:eastAsia="Arial" w:hAnsi="Arial"/>
          <w:sz w:val="22"/>
          <w:szCs w:val="22"/>
        </w:rPr>
        <w:t xml:space="preserve">Section 1 of the Financial Markets Act defines "securities" by enumeration: shares, depository receipts, debentures, notes, derivative instruments, bonds, money-market instruments, and any equivalent instrument prescribed by the Financial Sector Conduct Authority. The Act regulates issuance of, and trading in, securities and the operation of exchanges, clearing houses and trade repositories.</w:t>
      </w:r>
    </w:p>
    <w:p>
      <w:pPr>
        <w:spacing w:after="60" w:before="0" w:line="300"/>
        <w:jc w:val="both"/>
      </w:pPr>
      <w:r>
        <w:rPr>
          <w:rFonts w:ascii="Arial" w:cs="Arial" w:eastAsia="Arial" w:hAnsi="Arial"/>
          <w:b/>
          <w:bCs/>
          <w:sz w:val="22"/>
          <w:szCs w:val="22"/>
        </w:rPr>
        <w:t xml:space="preserve">Application to Tuppence:</w:t>
      </w:r>
    </w:p>
    <w:p>
      <w:pPr>
        <w:spacing w:after="120" w:before="0" w:line="300"/>
        <w:jc w:val="both"/>
      </w:pPr>
      <w:r>
        <w:rPr>
          <w:rFonts w:ascii="Arial" w:cs="Arial" w:eastAsia="Arial" w:hAnsi="Arial"/>
          <w:sz w:val="22"/>
          <w:szCs w:val="22"/>
        </w:rPr>
        <w:t xml:space="preserve">Tuppence does not represent ownership in an enterprise, does not represent a debt obligation, does not derive its value from a reference asset, and is not transferable on a secondary market. The non-transferability feature is dispositive: no enumerated security under section 1 can lack transferability in fact. There is no "market" in Tuppence and there can be none, by architectural design.</w:t>
      </w:r>
    </w:p>
    <w:p>
      <w:pPr>
        <w:spacing w:after="120" w:before="0" w:line="300"/>
        <w:jc w:val="both"/>
      </w:pPr>
      <w:r>
        <w:rPr>
          <w:rFonts w:ascii="Arial" w:cs="Arial" w:eastAsia="Arial" w:hAnsi="Arial"/>
          <w:b/>
          <w:bCs/>
          <w:sz w:val="22"/>
          <w:szCs w:val="22"/>
        </w:rPr>
        <w:t xml:space="preserve">Opinion: </w:t>
      </w:r>
      <w:r>
        <w:rPr>
          <w:rFonts w:ascii="Arial" w:cs="Arial" w:eastAsia="Arial" w:hAnsi="Arial"/>
          <w:b/>
          <w:bCs/>
          <w:color w:val="548235"/>
          <w:sz w:val="22"/>
          <w:szCs w:val="22"/>
        </w:rPr>
        <w:t xml:space="preserve">NO RISK. </w:t>
      </w:r>
      <w:r>
        <w:rPr>
          <w:rFonts w:ascii="Arial" w:cs="Arial" w:eastAsia="Arial" w:hAnsi="Arial"/>
          <w:sz w:val="22"/>
          <w:szCs w:val="22"/>
        </w:rPr>
        <w:t xml:space="preserve">Tuppence does not fall within the scope of the Financial Markets Act 19 of 2012.</w:t>
      </w:r>
    </w:p>
    <w:p>
      <w:pPr>
        <w:pStyle w:val="Heading2"/>
        <w:spacing w:after="140" w:before="280"/>
      </w:pPr>
      <w:r>
        <w:rPr>
          <w:rFonts w:ascii="Arial" w:cs="Arial" w:eastAsia="Arial" w:hAnsi="Arial"/>
          <w:b/>
          <w:bCs/>
          <w:color w:val="1F3864"/>
          <w:sz w:val="26"/>
          <w:szCs w:val="26"/>
        </w:rPr>
        <w:t xml:space="preserve">5.2  National Payment System Act 78 of 1998</w:t>
      </w:r>
    </w:p>
    <w:p>
      <w:pPr>
        <w:spacing w:after="60" w:before="0" w:line="300"/>
        <w:jc w:val="both"/>
      </w:pPr>
      <w:r>
        <w:rPr>
          <w:rFonts w:ascii="Arial" w:cs="Arial" w:eastAsia="Arial" w:hAnsi="Arial"/>
          <w:b/>
          <w:bCs/>
          <w:sz w:val="22"/>
          <w:szCs w:val="22"/>
        </w:rPr>
        <w:t xml:space="preserve">Applicable test:</w:t>
      </w:r>
    </w:p>
    <w:p>
      <w:pPr>
        <w:spacing w:after="120" w:before="0" w:line="300"/>
        <w:jc w:val="both"/>
      </w:pPr>
      <w:r>
        <w:rPr>
          <w:rFonts w:ascii="Arial" w:cs="Arial" w:eastAsia="Arial" w:hAnsi="Arial"/>
          <w:sz w:val="22"/>
          <w:szCs w:val="22"/>
        </w:rPr>
        <w:t xml:space="preserve">The NPS Act regulates the national payment, clearing and settlement system. "Payment system" is defined as a system that enables payments to be effected or facilitates the circulation of money. SARB Position Paper NPS 02/2014 (and the 2019 Consultation Paper on Crypto Assets) clarifies that closed-loop loyalty and reward programs which (a) operate within a single business or affiliated group, (b) do not facilitate payments between parties outside the program, and (c) cannot be redeemed for cash, are not "payment systems" requiring designation.</w:t>
      </w:r>
    </w:p>
    <w:p>
      <w:pPr>
        <w:spacing w:after="60" w:before="0" w:line="300"/>
        <w:jc w:val="both"/>
      </w:pPr>
      <w:r>
        <w:rPr>
          <w:rFonts w:ascii="Arial" w:cs="Arial" w:eastAsia="Arial" w:hAnsi="Arial"/>
          <w:b/>
          <w:bCs/>
          <w:sz w:val="22"/>
          <w:szCs w:val="22"/>
        </w:rPr>
        <w:t xml:space="preserve">Application to Tuppence:</w:t>
      </w:r>
    </w:p>
    <w:p>
      <w:pPr>
        <w:spacing w:after="120" w:before="0" w:line="300"/>
        <w:jc w:val="both"/>
      </w:pPr>
      <w:r>
        <w:rPr>
          <w:rFonts w:ascii="Arial" w:cs="Arial" w:eastAsia="Arial" w:hAnsi="Arial"/>
          <w:sz w:val="22"/>
          <w:szCs w:val="22"/>
        </w:rPr>
        <w:t xml:space="preserve">Tuppence is single-issuer (issued by TrustSquare (Pty) Ltd only). It is consumed by the platform itself in exchange for an access permission (the issuance of an introduction record) — not transferred to a third party as settlement of an obligation. The user does not extinguish a debt owed to a seller by spending Tuppence; the user obtains access to a service-feature of the platform. Tuppence is not redeemable for cash. It cannot be used outside the platform.</w:t>
      </w:r>
    </w:p>
    <w:p>
      <w:pPr>
        <w:spacing w:after="120" w:before="0" w:line="300"/>
        <w:jc w:val="both"/>
      </w:pPr>
      <w:r>
        <w:rPr>
          <w:rFonts w:ascii="Arial" w:cs="Arial" w:eastAsia="Arial" w:hAnsi="Arial"/>
          <w:sz w:val="22"/>
          <w:szCs w:val="22"/>
        </w:rPr>
        <w:t xml:space="preserve">Risk vector: if at any point a seller could elect to receive Tuppence in satisfaction of consideration owed by a buyer (e.g., "pay your handyman in Tuppence"), Tuppence would migrate into payment-system territory. The EULA must expressly preclude this. The current EULA draft v1.0 should be audited for any such ambiguity; see Section 9 of this memorandum.</w:t>
      </w:r>
    </w:p>
    <w:p>
      <w:pPr>
        <w:spacing w:after="120" w:before="0" w:line="300"/>
        <w:jc w:val="both"/>
      </w:pPr>
      <w:r>
        <w:rPr>
          <w:rFonts w:ascii="Arial" w:cs="Arial" w:eastAsia="Arial" w:hAnsi="Arial"/>
          <w:b/>
          <w:bCs/>
          <w:sz w:val="22"/>
          <w:szCs w:val="22"/>
        </w:rPr>
        <w:t xml:space="preserve">Opinion: </w:t>
      </w:r>
      <w:r>
        <w:rPr>
          <w:rFonts w:ascii="Arial" w:cs="Arial" w:eastAsia="Arial" w:hAnsi="Arial"/>
          <w:b/>
          <w:bCs/>
          <w:color w:val="ED7D31"/>
          <w:sz w:val="22"/>
          <w:szCs w:val="22"/>
        </w:rPr>
        <w:t xml:space="preserve">LOW RISK. </w:t>
      </w:r>
      <w:r>
        <w:rPr>
          <w:rFonts w:ascii="Arial" w:cs="Arial" w:eastAsia="Arial" w:hAnsi="Arial"/>
          <w:sz w:val="22"/>
          <w:szCs w:val="22"/>
        </w:rPr>
        <w:t xml:space="preserve">On current design Tuppence falls outside the NPS Act. The risk vector identified above must be foreclosed by EULA language.</w:t>
      </w:r>
    </w:p>
    <w:p>
      <w:pPr>
        <w:pStyle w:val="Heading2"/>
        <w:spacing w:after="140" w:before="280"/>
      </w:pPr>
      <w:r>
        <w:rPr>
          <w:rFonts w:ascii="Arial" w:cs="Arial" w:eastAsia="Arial" w:hAnsi="Arial"/>
          <w:b/>
          <w:bCs/>
          <w:color w:val="1F3864"/>
          <w:sz w:val="26"/>
          <w:szCs w:val="26"/>
        </w:rPr>
        <w:t xml:space="preserve">5.3  Banks Act 94 of 1990</w:t>
      </w:r>
    </w:p>
    <w:p>
      <w:pPr>
        <w:spacing w:after="60" w:before="0" w:line="300"/>
        <w:jc w:val="both"/>
      </w:pPr>
      <w:r>
        <w:rPr>
          <w:rFonts w:ascii="Arial" w:cs="Arial" w:eastAsia="Arial" w:hAnsi="Arial"/>
          <w:b/>
          <w:bCs/>
          <w:sz w:val="22"/>
          <w:szCs w:val="22"/>
        </w:rPr>
        <w:t xml:space="preserve">Applicable test:</w:t>
      </w:r>
    </w:p>
    <w:p>
      <w:pPr>
        <w:spacing w:after="120" w:before="0" w:line="300"/>
        <w:jc w:val="both"/>
      </w:pPr>
      <w:r>
        <w:rPr>
          <w:rFonts w:ascii="Arial" w:cs="Arial" w:eastAsia="Arial" w:hAnsi="Arial"/>
          <w:sz w:val="22"/>
          <w:szCs w:val="22"/>
        </w:rPr>
        <w:t xml:space="preserve">Section 1 of the Banks Act defines "deposit" as an amount of money paid by one person to another subject to an agreement in terms of which an equal amount or any part thereof will be conditionally or unconditionally repaid, with or without a premium, by the recipient. "The business of a bank" includes the solicitation of, or advertisement for, deposits from the general public. SARB's interpretive practice (most recently expressed in the Banks Act Public Awareness notices and the 2020 stored-value-products guidance) treats prepaid vouchers, gift cards and closed-loop digital credits as not constituting deposits where (i) the issuer is not a bank, (ii) the credit is redeemable only against identified goods or services of the issuer, (iii) no interest accrues, and (iv) any refund mechanism is exercised at the issuer's discretion under consumer-protection terms rather than as a contractual right of repayment.</w:t>
      </w:r>
    </w:p>
    <w:p>
      <w:pPr>
        <w:spacing w:after="60" w:before="0" w:line="300"/>
        <w:jc w:val="both"/>
      </w:pPr>
      <w:r>
        <w:rPr>
          <w:rFonts w:ascii="Arial" w:cs="Arial" w:eastAsia="Arial" w:hAnsi="Arial"/>
          <w:b/>
          <w:bCs/>
          <w:sz w:val="22"/>
          <w:szCs w:val="22"/>
        </w:rPr>
        <w:t xml:space="preserve">Application to Tuppence — the critical sub-issue:</w:t>
      </w:r>
    </w:p>
    <w:p>
      <w:pPr>
        <w:spacing w:after="120" w:before="0" w:line="300"/>
        <w:jc w:val="both"/>
      </w:pPr>
      <w:r>
        <w:rPr>
          <w:rFonts w:ascii="Arial" w:cs="Arial" w:eastAsia="Arial" w:hAnsi="Arial"/>
          <w:sz w:val="22"/>
          <w:szCs w:val="22"/>
        </w:rPr>
        <w:t xml:space="preserve">The partial-refund-on-decline mechanism is the marginal risk. As currently described, when a seller declines an introduction, a portion of the Tuppence spent by the buyer is restored to the buyer's balance. If this is structured as a contractual right of the buyer to repayment of money paid in, the mechanism approaches the statutory definition of "deposit" (a conditional repayment). If, by contrast, it is structured as a discretionary service-credit reissuance, exercised by the platform under its EULA, the mechanism remains within SARB's interpretive practice and is not a deposit.</w:t>
      </w:r>
    </w:p>
    <w:p>
      <w:pPr>
        <w:spacing w:after="60" w:before="0" w:line="300"/>
        <w:jc w:val="both"/>
      </w:pPr>
      <w:r>
        <w:rPr>
          <w:rFonts w:ascii="Arial" w:cs="Arial" w:eastAsia="Arial" w:hAnsi="Arial"/>
          <w:b/>
          <w:bCs/>
          <w:sz w:val="22"/>
          <w:szCs w:val="22"/>
        </w:rPr>
        <w:t xml:space="preserve">Required structural safeguards:</w:t>
      </w:r>
    </w:p>
    <w:p>
      <w:pPr>
        <w:pStyle w:val="ListParagraph"/>
        <w:numPr>
          <w:ilvl w:val="0"/>
          <w:numId w:val="2"/>
        </w:numPr>
        <w:spacing w:after="80" w:line="280"/>
      </w:pPr>
      <w:r>
        <w:rPr>
          <w:rFonts w:ascii="Arial" w:cs="Arial" w:eastAsia="Arial" w:hAnsi="Arial"/>
          <w:sz w:val="22"/>
          <w:szCs w:val="22"/>
        </w:rPr>
        <w:t xml:space="preserve">EULA characterisation. The EULA must describe Tuppence as a non-transferable, non-redeemable platform service credit, the partial restitution being a discretionary platform action and not a refund of money paid in. The substance of the restitution must remain customer-favourable, but the form must be unilaterally discretionary.</w:t>
      </w:r>
    </w:p>
    <w:p>
      <w:pPr>
        <w:pStyle w:val="ListParagraph"/>
        <w:numPr>
          <w:ilvl w:val="0"/>
          <w:numId w:val="2"/>
        </w:numPr>
        <w:spacing w:after="80" w:line="280"/>
      </w:pPr>
      <w:r>
        <w:rPr>
          <w:rFonts w:ascii="Arial" w:cs="Arial" w:eastAsia="Arial" w:hAnsi="Arial"/>
          <w:sz w:val="22"/>
          <w:szCs w:val="22"/>
        </w:rPr>
        <w:t xml:space="preserve">Denomination. The restituted balance must be denominated in Tuppence units, not in ZAR. The buyer's Tuppence-purchase invoice (which is denominated in ZAR) is concluded on purchase; the restitution is a separate event in Tuppence units.</w:t>
      </w:r>
    </w:p>
    <w:p>
      <w:pPr>
        <w:pStyle w:val="ListParagraph"/>
        <w:numPr>
          <w:ilvl w:val="0"/>
          <w:numId w:val="2"/>
        </w:numPr>
        <w:spacing w:after="80" w:line="280"/>
      </w:pPr>
      <w:r>
        <w:rPr>
          <w:rFonts w:ascii="Arial" w:cs="Arial" w:eastAsia="Arial" w:hAnsi="Arial"/>
          <w:sz w:val="22"/>
          <w:szCs w:val="22"/>
        </w:rPr>
        <w:t xml:space="preserve">No interest. Tuppence balances must accrue no interest. The EULA should state this expressly.</w:t>
      </w:r>
    </w:p>
    <w:p>
      <w:pPr>
        <w:pStyle w:val="ListParagraph"/>
        <w:numPr>
          <w:ilvl w:val="0"/>
          <w:numId w:val="2"/>
        </w:numPr>
        <w:spacing w:after="80" w:line="280"/>
      </w:pPr>
      <w:r>
        <w:rPr>
          <w:rFonts w:ascii="Arial" w:cs="Arial" w:eastAsia="Arial" w:hAnsi="Arial"/>
          <w:sz w:val="22"/>
          <w:szCs w:val="22"/>
        </w:rPr>
        <w:t xml:space="preserve">Expiry. Tuppence balances should expire on dormancy (recommended: 24 months of no platform activity). Expiry strengthens the "service credit, not deposit" characterisation.</w:t>
      </w:r>
    </w:p>
    <w:p>
      <w:pPr>
        <w:pStyle w:val="ListParagraph"/>
        <w:numPr>
          <w:ilvl w:val="0"/>
          <w:numId w:val="2"/>
        </w:numPr>
        <w:spacing w:after="80" w:line="280"/>
      </w:pPr>
      <w:r>
        <w:rPr>
          <w:rFonts w:ascii="Arial" w:cs="Arial" w:eastAsia="Arial" w:hAnsi="Arial"/>
          <w:sz w:val="22"/>
          <w:szCs w:val="22"/>
        </w:rPr>
        <w:t xml:space="preserve">Float treatment. While Tuppence-purchase float remains below R10 million, no further action is necessary. If float exceeds R10 million, the instructed firm should consider whether segregated trust holdings or a designated payment-institution licence is required.</w:t>
      </w:r>
    </w:p>
    <w:p>
      <w:pPr>
        <w:pStyle w:val="ListParagraph"/>
        <w:numPr>
          <w:ilvl w:val="0"/>
          <w:numId w:val="2"/>
        </w:numPr>
        <w:spacing w:after="80" w:line="280"/>
      </w:pPr>
      <w:r>
        <w:rPr>
          <w:rFonts w:ascii="Arial" w:cs="Arial" w:eastAsia="Arial" w:hAnsi="Arial"/>
          <w:sz w:val="22"/>
          <w:szCs w:val="22"/>
        </w:rPr>
        <w:t xml:space="preserve">Accounting. Revenue should be recognised on issuance (purchase) of Tuppence, with a provision for refunds, treated as sale of a service. Deferral of revenue against an obligation to redeem materially worsens the position.</w:t>
      </w:r>
    </w:p>
    <w:p>
      <w:pPr>
        <w:spacing w:after="120" w:before="0" w:line="300"/>
        <w:jc w:val="both"/>
      </w:pPr>
      <w:r>
        <w:rPr>
          <w:rFonts w:ascii="Arial" w:cs="Arial" w:eastAsia="Arial" w:hAnsi="Arial"/>
          <w:b/>
          <w:bCs/>
          <w:sz w:val="22"/>
          <w:szCs w:val="22"/>
        </w:rPr>
        <w:t xml:space="preserve">Opinion: </w:t>
      </w:r>
      <w:r>
        <w:rPr>
          <w:rFonts w:ascii="Arial" w:cs="Arial" w:eastAsia="Arial" w:hAnsi="Arial"/>
          <w:b/>
          <w:bCs/>
          <w:color w:val="ED7D31"/>
          <w:sz w:val="22"/>
          <w:szCs w:val="22"/>
        </w:rPr>
        <w:t xml:space="preserve">LOW RISK </w:t>
      </w:r>
      <w:r>
        <w:rPr>
          <w:rFonts w:ascii="Arial" w:cs="Arial" w:eastAsia="Arial" w:hAnsi="Arial"/>
          <w:sz w:val="22"/>
          <w:szCs w:val="22"/>
        </w:rPr>
        <w:t xml:space="preserve">(but not no risk). The partial-refund mechanism is the load-bearing exposure. Mitigation requires EULA redrafting to characterise the restitution as a discretionary reissuance, not a contractual repayment.</w:t>
      </w:r>
    </w:p>
    <w:p>
      <w:pPr>
        <w:pStyle w:val="Heading2"/>
        <w:spacing w:after="140" w:before="280"/>
      </w:pPr>
      <w:r>
        <w:rPr>
          <w:rFonts w:ascii="Arial" w:cs="Arial" w:eastAsia="Arial" w:hAnsi="Arial"/>
          <w:b/>
          <w:bCs/>
          <w:color w:val="1F3864"/>
          <w:sz w:val="26"/>
          <w:szCs w:val="26"/>
        </w:rPr>
        <w:t xml:space="preserve">5.4  Is non-transferability the primary safeguard?</w:t>
      </w:r>
    </w:p>
    <w:p>
      <w:pPr>
        <w:spacing w:after="120" w:before="0" w:line="300"/>
        <w:jc w:val="both"/>
      </w:pPr>
      <w:r>
        <w:rPr>
          <w:rFonts w:ascii="Arial" w:cs="Arial" w:eastAsia="Arial" w:hAnsi="Arial"/>
          <w:sz w:val="22"/>
          <w:szCs w:val="22"/>
        </w:rPr>
        <w:t xml:space="preserve">Non-transferability is the primary technical safeguard. It eliminates Financial Markets Act exposure decisively and reduces NPS Act exposure to a negligible level. It does not, however, eliminate Banks Act exposure. The Banks Act test turns on the existence of a repayment mechanism, not on transferability. The partial-refund-on-decline mechanism is the residual Banks Act exposure, and non-transferability does not address it. The structural safeguards in Section 5.3 above are therefore additional to, not in substitution for, non-transferability.</w:t>
      </w:r>
    </w:p>
    <w:p>
      <w:pPr>
        <w:pStyle w:val="Heading1"/>
        <w:spacing w:after="180" w:before="360"/>
      </w:pPr>
      <w:r>
        <w:rPr>
          <w:rFonts w:ascii="Arial" w:cs="Arial" w:eastAsia="Arial" w:hAnsi="Arial"/>
          <w:b/>
          <w:bCs/>
          <w:color w:val="1F3864"/>
          <w:sz w:val="32"/>
          <w:szCs w:val="32"/>
        </w:rPr>
        <w:t xml:space="preserve">6.  Task 4 — PCT Filing Route Recommendation</w:t>
      </w:r>
    </w:p>
    <w:p>
      <w:pPr>
        <w:pStyle w:val="Heading2"/>
        <w:spacing w:after="140" w:before="280"/>
      </w:pPr>
      <w:r>
        <w:rPr>
          <w:rFonts w:ascii="Arial" w:cs="Arial" w:eastAsia="Arial" w:hAnsi="Arial"/>
          <w:b/>
          <w:bCs/>
          <w:color w:val="1F3864"/>
          <w:sz w:val="26"/>
          <w:szCs w:val="26"/>
        </w:rPr>
        <w:t xml:space="preserve">6.1  Option comparison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13"/>
        <w:gridCol w:w="3013"/>
      </w:tblGrid>
      <w:tr>
        <w:tc>
          <w:tcPr>
            <w:tcW w:type="dxa" w:w="3000"/>
            <w:tcBorders>
              <w:top w:val="single" w:color="888888" w:sz="4"/>
              <w:left w:val="single" w:color="888888" w:sz="4"/>
              <w:bottom w:val="single" w:color="888888" w:sz="4"/>
              <w:right w:val="single" w:color="888888" w:sz="4"/>
            </w:tcBorders>
            <w:shd w:fill="1F3864" w:color="auto" w:val="clear"/>
            <w:tcMar>
              <w:top w:type="dxa" w:w="80"/>
              <w:left w:type="dxa" w:w="100"/>
              <w:bottom w:type="dxa" w:w="80"/>
              <w:right w:type="dxa" w:w="100"/>
            </w:tcMar>
            <w:vAlign w:val="top"/>
          </w:tcPr>
          <w:p>
            <w:pPr>
              <w:spacing w:after="0" w:line="260"/>
              <w:jc w:val="left"/>
            </w:pPr>
            <w:r>
              <w:rPr>
                <w:rFonts w:ascii="Arial" w:cs="Arial" w:eastAsia="Arial" w:hAnsi="Arial"/>
                <w:b/>
                <w:bCs/>
                <w:color w:val="FFFFFF"/>
                <w:sz w:val="20"/>
                <w:szCs w:val="20"/>
              </w:rPr>
              <w:t xml:space="preserve">Factor</w:t>
            </w:r>
          </w:p>
        </w:tc>
        <w:tc>
          <w:tcPr>
            <w:tcW w:type="dxa" w:w="3013"/>
            <w:tcBorders>
              <w:top w:val="single" w:color="888888" w:sz="4"/>
              <w:left w:val="single" w:color="888888" w:sz="4"/>
              <w:bottom w:val="single" w:color="888888" w:sz="4"/>
              <w:right w:val="single" w:color="888888" w:sz="4"/>
            </w:tcBorders>
            <w:shd w:fill="1F3864" w:color="auto" w:val="clear"/>
            <w:tcMar>
              <w:top w:type="dxa" w:w="80"/>
              <w:left w:type="dxa" w:w="100"/>
              <w:bottom w:type="dxa" w:w="80"/>
              <w:right w:type="dxa" w:w="100"/>
            </w:tcMar>
            <w:vAlign w:val="top"/>
          </w:tcPr>
          <w:p>
            <w:pPr>
              <w:spacing w:after="0" w:line="260"/>
              <w:jc w:val="left"/>
            </w:pPr>
            <w:r>
              <w:rPr>
                <w:rFonts w:ascii="Arial" w:cs="Arial" w:eastAsia="Arial" w:hAnsi="Arial"/>
                <w:b/>
                <w:bCs/>
                <w:color w:val="FFFFFF"/>
                <w:sz w:val="20"/>
                <w:szCs w:val="20"/>
              </w:rPr>
              <w:t xml:space="preserve">Option A — CIPC as RO</w:t>
            </w:r>
          </w:p>
        </w:tc>
        <w:tc>
          <w:tcPr>
            <w:tcW w:type="dxa" w:w="3013"/>
            <w:tcBorders>
              <w:top w:val="single" w:color="888888" w:sz="4"/>
              <w:left w:val="single" w:color="888888" w:sz="4"/>
              <w:bottom w:val="single" w:color="888888" w:sz="4"/>
              <w:right w:val="single" w:color="888888" w:sz="4"/>
            </w:tcBorders>
            <w:shd w:fill="1F3864" w:color="auto" w:val="clear"/>
            <w:tcMar>
              <w:top w:type="dxa" w:w="80"/>
              <w:left w:type="dxa" w:w="100"/>
              <w:bottom w:type="dxa" w:w="80"/>
              <w:right w:type="dxa" w:w="100"/>
            </w:tcMar>
            <w:vAlign w:val="top"/>
          </w:tcPr>
          <w:p>
            <w:pPr>
              <w:spacing w:after="0" w:line="260"/>
              <w:jc w:val="left"/>
            </w:pPr>
            <w:r>
              <w:rPr>
                <w:rFonts w:ascii="Arial" w:cs="Arial" w:eastAsia="Arial" w:hAnsi="Arial"/>
                <w:b/>
                <w:bCs/>
                <w:color w:val="FFFFFF"/>
                <w:sz w:val="20"/>
                <w:szCs w:val="20"/>
              </w:rPr>
              <w:t xml:space="preserve">Option B — WIPO IB as RO (direct)</w:t>
            </w:r>
          </w:p>
        </w:tc>
      </w:tr>
      <w:tr>
        <w:tc>
          <w:tcPr>
            <w:tcW w:type="dxa" w:w="3000"/>
            <w:tcBorders>
              <w:top w:val="single" w:color="888888" w:sz="4"/>
              <w:left w:val="single" w:color="888888" w:sz="4"/>
              <w:bottom w:val="single" w:color="888888" w:sz="4"/>
              <w:right w:val="single" w:color="888888" w:sz="4"/>
            </w:tcBorders>
            <w:shd w:fill="EAF2F8" w:color="auto" w:val="clear"/>
            <w:tcMar>
              <w:top w:type="dxa" w:w="80"/>
              <w:left w:type="dxa" w:w="100"/>
              <w:bottom w:type="dxa" w:w="80"/>
              <w:right w:type="dxa" w:w="100"/>
            </w:tcMar>
            <w:vAlign w:val="top"/>
          </w:tcPr>
          <w:p>
            <w:pPr>
              <w:spacing w:after="0" w:line="260"/>
              <w:jc w:val="left"/>
            </w:pPr>
            <w:r>
              <w:rPr>
                <w:rFonts w:ascii="Arial" w:cs="Arial" w:eastAsia="Arial" w:hAnsi="Arial"/>
                <w:b/>
                <w:bCs/>
                <w:sz w:val="20"/>
                <w:szCs w:val="20"/>
              </w:rPr>
              <w:t xml:space="preserve">Transmittal fee</w:t>
            </w:r>
          </w:p>
        </w:tc>
        <w:tc>
          <w:tcPr>
            <w:tcW w:type="dxa" w:w="3013"/>
            <w:tcBorders>
              <w:top w:val="single" w:color="888888" w:sz="4"/>
              <w:left w:val="single" w:color="888888" w:sz="4"/>
              <w:bottom w:val="single" w:color="888888" w:sz="4"/>
              <w:right w:val="single" w:color="888888" w:sz="4"/>
            </w:tcBorders>
            <w:tcMar>
              <w:top w:type="dxa" w:w="80"/>
              <w:left w:type="dxa" w:w="100"/>
              <w:bottom w:type="dxa" w:w="80"/>
              <w:right w:type="dxa" w:w="100"/>
            </w:tcMar>
            <w:vAlign w:val="top"/>
          </w:tcPr>
          <w:p>
            <w:pPr>
              <w:spacing w:after="0" w:line="260"/>
              <w:jc w:val="left"/>
            </w:pPr>
            <w:r>
              <w:rPr>
                <w:rFonts w:ascii="Arial" w:cs="Arial" w:eastAsia="Arial" w:hAnsi="Arial"/>
                <w:sz w:val="20"/>
                <w:szCs w:val="20"/>
              </w:rPr>
              <w:t xml:space="preserve">ZAR ~590</w:t>
            </w:r>
          </w:p>
        </w:tc>
        <w:tc>
          <w:tcPr>
            <w:tcW w:type="dxa" w:w="3013"/>
            <w:tcBorders>
              <w:top w:val="single" w:color="888888" w:sz="4"/>
              <w:left w:val="single" w:color="888888" w:sz="4"/>
              <w:bottom w:val="single" w:color="888888" w:sz="4"/>
              <w:right w:val="single" w:color="888888" w:sz="4"/>
            </w:tcBorders>
            <w:tcMar>
              <w:top w:type="dxa" w:w="80"/>
              <w:left w:type="dxa" w:w="100"/>
              <w:bottom w:type="dxa" w:w="80"/>
              <w:right w:type="dxa" w:w="100"/>
            </w:tcMar>
            <w:vAlign w:val="top"/>
          </w:tcPr>
          <w:p>
            <w:pPr>
              <w:spacing w:after="0" w:line="260"/>
              <w:jc w:val="left"/>
            </w:pPr>
            <w:r>
              <w:rPr>
                <w:rFonts w:ascii="Arial" w:cs="Arial" w:eastAsia="Arial" w:hAnsi="Arial"/>
                <w:sz w:val="20"/>
                <w:szCs w:val="20"/>
              </w:rPr>
              <w:t xml:space="preserve">CHF 100 (~ZAR 2,100)</w:t>
            </w:r>
          </w:p>
        </w:tc>
      </w:tr>
      <w:tr>
        <w:tc>
          <w:tcPr>
            <w:tcW w:type="dxa" w:w="3000"/>
            <w:tcBorders>
              <w:top w:val="single" w:color="888888" w:sz="4"/>
              <w:left w:val="single" w:color="888888" w:sz="4"/>
              <w:bottom w:val="single" w:color="888888" w:sz="4"/>
              <w:right w:val="single" w:color="888888" w:sz="4"/>
            </w:tcBorders>
            <w:shd w:fill="EAF2F8" w:color="auto" w:val="clear"/>
            <w:tcMar>
              <w:top w:type="dxa" w:w="80"/>
              <w:left w:type="dxa" w:w="100"/>
              <w:bottom w:type="dxa" w:w="80"/>
              <w:right w:type="dxa" w:w="100"/>
            </w:tcMar>
            <w:vAlign w:val="top"/>
          </w:tcPr>
          <w:p>
            <w:pPr>
              <w:spacing w:after="0" w:line="260"/>
              <w:jc w:val="left"/>
            </w:pPr>
            <w:r>
              <w:rPr>
                <w:rFonts w:ascii="Arial" w:cs="Arial" w:eastAsia="Arial" w:hAnsi="Arial"/>
                <w:b/>
                <w:bCs/>
                <w:sz w:val="20"/>
                <w:szCs w:val="20"/>
              </w:rPr>
              <w:t xml:space="preserve">WIPO international filing fee</w:t>
            </w:r>
          </w:p>
        </w:tc>
        <w:tc>
          <w:tcPr>
            <w:tcW w:type="dxa" w:w="3013"/>
            <w:tcBorders>
              <w:top w:val="single" w:color="888888" w:sz="4"/>
              <w:left w:val="single" w:color="888888" w:sz="4"/>
              <w:bottom w:val="single" w:color="888888" w:sz="4"/>
              <w:right w:val="single" w:color="888888" w:sz="4"/>
            </w:tcBorders>
            <w:tcMar>
              <w:top w:type="dxa" w:w="80"/>
              <w:left w:type="dxa" w:w="100"/>
              <w:bottom w:type="dxa" w:w="80"/>
              <w:right w:type="dxa" w:w="100"/>
            </w:tcMar>
            <w:vAlign w:val="top"/>
          </w:tcPr>
          <w:p>
            <w:pPr>
              <w:spacing w:after="0" w:line="260"/>
              <w:jc w:val="left"/>
            </w:pPr>
            <w:r>
              <w:rPr>
                <w:rFonts w:ascii="Arial" w:cs="Arial" w:eastAsia="Arial" w:hAnsi="Arial"/>
                <w:sz w:val="20"/>
                <w:szCs w:val="20"/>
              </w:rPr>
              <w:t xml:space="preserve">CHF 1,330 (electronic, PDF)</w:t>
            </w:r>
          </w:p>
        </w:tc>
        <w:tc>
          <w:tcPr>
            <w:tcW w:type="dxa" w:w="3013"/>
            <w:tcBorders>
              <w:top w:val="single" w:color="888888" w:sz="4"/>
              <w:left w:val="single" w:color="888888" w:sz="4"/>
              <w:bottom w:val="single" w:color="888888" w:sz="4"/>
              <w:right w:val="single" w:color="888888" w:sz="4"/>
            </w:tcBorders>
            <w:tcMar>
              <w:top w:type="dxa" w:w="80"/>
              <w:left w:type="dxa" w:w="100"/>
              <w:bottom w:type="dxa" w:w="80"/>
              <w:right w:type="dxa" w:w="100"/>
            </w:tcMar>
            <w:vAlign w:val="top"/>
          </w:tcPr>
          <w:p>
            <w:pPr>
              <w:spacing w:after="0" w:line="260"/>
              <w:jc w:val="left"/>
            </w:pPr>
            <w:r>
              <w:rPr>
                <w:rFonts w:ascii="Arial" w:cs="Arial" w:eastAsia="Arial" w:hAnsi="Arial"/>
                <w:sz w:val="20"/>
                <w:szCs w:val="20"/>
              </w:rPr>
              <w:t xml:space="preserve">CHF 1,330 (electronic, PDF) — identical</w:t>
            </w:r>
          </w:p>
        </w:tc>
      </w:tr>
      <w:tr>
        <w:tc>
          <w:tcPr>
            <w:tcW w:type="dxa" w:w="3000"/>
            <w:tcBorders>
              <w:top w:val="single" w:color="888888" w:sz="4"/>
              <w:left w:val="single" w:color="888888" w:sz="4"/>
              <w:bottom w:val="single" w:color="888888" w:sz="4"/>
              <w:right w:val="single" w:color="888888" w:sz="4"/>
            </w:tcBorders>
            <w:shd w:fill="EAF2F8" w:color="auto" w:val="clear"/>
            <w:tcMar>
              <w:top w:type="dxa" w:w="80"/>
              <w:left w:type="dxa" w:w="100"/>
              <w:bottom w:type="dxa" w:w="80"/>
              <w:right w:type="dxa" w:w="100"/>
            </w:tcMar>
            <w:vAlign w:val="top"/>
          </w:tcPr>
          <w:p>
            <w:pPr>
              <w:spacing w:after="0" w:line="260"/>
              <w:jc w:val="left"/>
            </w:pPr>
            <w:r>
              <w:rPr>
                <w:rFonts w:ascii="Arial" w:cs="Arial" w:eastAsia="Arial" w:hAnsi="Arial"/>
                <w:b/>
                <w:bCs/>
                <w:sz w:val="20"/>
                <w:szCs w:val="20"/>
              </w:rPr>
              <w:t xml:space="preserve">ISA search fee (EPO)</w:t>
            </w:r>
          </w:p>
        </w:tc>
        <w:tc>
          <w:tcPr>
            <w:tcW w:type="dxa" w:w="3013"/>
            <w:tcBorders>
              <w:top w:val="single" w:color="888888" w:sz="4"/>
              <w:left w:val="single" w:color="888888" w:sz="4"/>
              <w:bottom w:val="single" w:color="888888" w:sz="4"/>
              <w:right w:val="single" w:color="888888" w:sz="4"/>
            </w:tcBorders>
            <w:tcMar>
              <w:top w:type="dxa" w:w="80"/>
              <w:left w:type="dxa" w:w="100"/>
              <w:bottom w:type="dxa" w:w="80"/>
              <w:right w:type="dxa" w:w="100"/>
            </w:tcMar>
            <w:vAlign w:val="top"/>
          </w:tcPr>
          <w:p>
            <w:pPr>
              <w:spacing w:after="0" w:line="260"/>
              <w:jc w:val="left"/>
            </w:pPr>
            <w:r>
              <w:rPr>
                <w:rFonts w:ascii="Arial" w:cs="Arial" w:eastAsia="Arial" w:hAnsi="Arial"/>
                <w:sz w:val="20"/>
                <w:szCs w:val="20"/>
              </w:rPr>
              <w:t xml:space="preserve">EUR 1,775 — identical</w:t>
            </w:r>
          </w:p>
        </w:tc>
        <w:tc>
          <w:tcPr>
            <w:tcW w:type="dxa" w:w="3013"/>
            <w:tcBorders>
              <w:top w:val="single" w:color="888888" w:sz="4"/>
              <w:left w:val="single" w:color="888888" w:sz="4"/>
              <w:bottom w:val="single" w:color="888888" w:sz="4"/>
              <w:right w:val="single" w:color="888888" w:sz="4"/>
            </w:tcBorders>
            <w:tcMar>
              <w:top w:type="dxa" w:w="80"/>
              <w:left w:type="dxa" w:w="100"/>
              <w:bottom w:type="dxa" w:w="80"/>
              <w:right w:type="dxa" w:w="100"/>
            </w:tcMar>
            <w:vAlign w:val="top"/>
          </w:tcPr>
          <w:p>
            <w:pPr>
              <w:spacing w:after="0" w:line="260"/>
              <w:jc w:val="left"/>
            </w:pPr>
            <w:r>
              <w:rPr>
                <w:rFonts w:ascii="Arial" w:cs="Arial" w:eastAsia="Arial" w:hAnsi="Arial"/>
                <w:sz w:val="20"/>
                <w:szCs w:val="20"/>
              </w:rPr>
              <w:t xml:space="preserve">EUR 1,775 — identical</w:t>
            </w:r>
          </w:p>
        </w:tc>
      </w:tr>
      <w:tr>
        <w:tc>
          <w:tcPr>
            <w:tcW w:type="dxa" w:w="3000"/>
            <w:tcBorders>
              <w:top w:val="single" w:color="888888" w:sz="4"/>
              <w:left w:val="single" w:color="888888" w:sz="4"/>
              <w:bottom w:val="single" w:color="888888" w:sz="4"/>
              <w:right w:val="single" w:color="888888" w:sz="4"/>
            </w:tcBorders>
            <w:shd w:fill="EAF2F8" w:color="auto" w:val="clear"/>
            <w:tcMar>
              <w:top w:type="dxa" w:w="80"/>
              <w:left w:type="dxa" w:w="100"/>
              <w:bottom w:type="dxa" w:w="80"/>
              <w:right w:type="dxa" w:w="100"/>
            </w:tcMar>
            <w:vAlign w:val="top"/>
          </w:tcPr>
          <w:p>
            <w:pPr>
              <w:spacing w:after="0" w:line="260"/>
              <w:jc w:val="left"/>
            </w:pPr>
            <w:r>
              <w:rPr>
                <w:rFonts w:ascii="Arial" w:cs="Arial" w:eastAsia="Arial" w:hAnsi="Arial"/>
                <w:b/>
                <w:bCs/>
                <w:sz w:val="20"/>
                <w:szCs w:val="20"/>
              </w:rPr>
              <w:t xml:space="preserve">Foreign-filing-licence requirement (s 23A Patents Act)</w:t>
            </w:r>
          </w:p>
        </w:tc>
        <w:tc>
          <w:tcPr>
            <w:tcW w:type="dxa" w:w="3013"/>
            <w:tcBorders>
              <w:top w:val="single" w:color="888888" w:sz="4"/>
              <w:left w:val="single" w:color="888888" w:sz="4"/>
              <w:bottom w:val="single" w:color="888888" w:sz="4"/>
              <w:right w:val="single" w:color="888888" w:sz="4"/>
            </w:tcBorders>
            <w:shd w:fill="E2EFD9" w:color="auto" w:val="clear"/>
            <w:tcMar>
              <w:top w:type="dxa" w:w="80"/>
              <w:left w:type="dxa" w:w="100"/>
              <w:bottom w:type="dxa" w:w="80"/>
              <w:right w:type="dxa" w:w="100"/>
            </w:tcMar>
            <w:vAlign w:val="top"/>
          </w:tcPr>
          <w:p>
            <w:pPr>
              <w:spacing w:after="0" w:line="260"/>
              <w:jc w:val="left"/>
            </w:pPr>
            <w:r>
              <w:rPr>
                <w:rFonts w:ascii="Arial" w:cs="Arial" w:eastAsia="Arial" w:hAnsi="Arial"/>
                <w:sz w:val="20"/>
                <w:szCs w:val="20"/>
              </w:rPr>
              <w:t xml:space="preserve">Satisfied automatically by CIPC's act of forwarding the PCT to the IB.</w:t>
            </w:r>
          </w:p>
        </w:tc>
        <w:tc>
          <w:tcPr>
            <w:tcW w:type="dxa" w:w="3013"/>
            <w:tcBorders>
              <w:top w:val="single" w:color="888888" w:sz="4"/>
              <w:left w:val="single" w:color="888888" w:sz="4"/>
              <w:bottom w:val="single" w:color="888888" w:sz="4"/>
              <w:right w:val="single" w:color="888888" w:sz="4"/>
            </w:tcBorders>
            <w:shd w:fill="F8CBAD" w:color="auto" w:val="clear"/>
            <w:tcMar>
              <w:top w:type="dxa" w:w="80"/>
              <w:left w:type="dxa" w:w="100"/>
              <w:bottom w:type="dxa" w:w="80"/>
              <w:right w:type="dxa" w:w="100"/>
            </w:tcMar>
            <w:vAlign w:val="top"/>
          </w:tcPr>
          <w:p>
            <w:pPr>
              <w:spacing w:after="0" w:line="260"/>
              <w:jc w:val="left"/>
            </w:pPr>
            <w:r>
              <w:rPr>
                <w:rFonts w:ascii="Arial" w:cs="Arial" w:eastAsia="Arial" w:hAnsi="Arial"/>
                <w:sz w:val="20"/>
                <w:szCs w:val="20"/>
              </w:rPr>
              <w:t xml:space="preserve">Separate s 23A application required before WIPO filing. Adds 2-6 weeks and risk of non-compliance.</w:t>
            </w:r>
          </w:p>
        </w:tc>
      </w:tr>
      <w:tr>
        <w:tc>
          <w:tcPr>
            <w:tcW w:type="dxa" w:w="3000"/>
            <w:tcBorders>
              <w:top w:val="single" w:color="888888" w:sz="4"/>
              <w:left w:val="single" w:color="888888" w:sz="4"/>
              <w:bottom w:val="single" w:color="888888" w:sz="4"/>
              <w:right w:val="single" w:color="888888" w:sz="4"/>
            </w:tcBorders>
            <w:shd w:fill="EAF2F8" w:color="auto" w:val="clear"/>
            <w:tcMar>
              <w:top w:type="dxa" w:w="80"/>
              <w:left w:type="dxa" w:w="100"/>
              <w:bottom w:type="dxa" w:w="80"/>
              <w:right w:type="dxa" w:w="100"/>
            </w:tcMar>
            <w:vAlign w:val="top"/>
          </w:tcPr>
          <w:p>
            <w:pPr>
              <w:spacing w:after="0" w:line="260"/>
              <w:jc w:val="left"/>
            </w:pPr>
            <w:r>
              <w:rPr>
                <w:rFonts w:ascii="Arial" w:cs="Arial" w:eastAsia="Arial" w:hAnsi="Arial"/>
                <w:b/>
                <w:bCs/>
                <w:sz w:val="20"/>
                <w:szCs w:val="20"/>
              </w:rPr>
              <w:t xml:space="preserve">ISR timing</w:t>
            </w:r>
          </w:p>
        </w:tc>
        <w:tc>
          <w:tcPr>
            <w:tcW w:type="dxa" w:w="3013"/>
            <w:tcBorders>
              <w:top w:val="single" w:color="888888" w:sz="4"/>
              <w:left w:val="single" w:color="888888" w:sz="4"/>
              <w:bottom w:val="single" w:color="888888" w:sz="4"/>
              <w:right w:val="single" w:color="888888" w:sz="4"/>
            </w:tcBorders>
            <w:tcMar>
              <w:top w:type="dxa" w:w="80"/>
              <w:left w:type="dxa" w:w="100"/>
              <w:bottom w:type="dxa" w:w="80"/>
              <w:right w:type="dxa" w:w="100"/>
            </w:tcMar>
            <w:vAlign w:val="top"/>
          </w:tcPr>
          <w:p>
            <w:pPr>
              <w:spacing w:after="0" w:line="260"/>
              <w:jc w:val="left"/>
            </w:pPr>
            <w:r>
              <w:rPr>
                <w:rFonts w:ascii="Arial" w:cs="Arial" w:eastAsia="Arial" w:hAnsi="Arial"/>
                <w:sz w:val="20"/>
                <w:szCs w:val="20"/>
              </w:rPr>
              <w:t xml:space="preserve">Determined by ISA (EPO), not by RO. ~16 weeks from search-fee receipt; total ~5-6 months from PCT filing.</w:t>
            </w:r>
          </w:p>
        </w:tc>
        <w:tc>
          <w:tcPr>
            <w:tcW w:type="dxa" w:w="3013"/>
            <w:tcBorders>
              <w:top w:val="single" w:color="888888" w:sz="4"/>
              <w:left w:val="single" w:color="888888" w:sz="4"/>
              <w:bottom w:val="single" w:color="888888" w:sz="4"/>
              <w:right w:val="single" w:color="888888" w:sz="4"/>
            </w:tcBorders>
            <w:tcMar>
              <w:top w:type="dxa" w:w="80"/>
              <w:left w:type="dxa" w:w="100"/>
              <w:bottom w:type="dxa" w:w="80"/>
              <w:right w:type="dxa" w:w="100"/>
            </w:tcMar>
            <w:vAlign w:val="top"/>
          </w:tcPr>
          <w:p>
            <w:pPr>
              <w:spacing w:after="0" w:line="260"/>
              <w:jc w:val="left"/>
            </w:pPr>
            <w:r>
              <w:rPr>
                <w:rFonts w:ascii="Arial" w:cs="Arial" w:eastAsia="Arial" w:hAnsi="Arial"/>
                <w:sz w:val="20"/>
                <w:szCs w:val="20"/>
              </w:rPr>
              <w:t xml:space="preserve">Identical. No timing advantage to direct WIPO filing.</w:t>
            </w:r>
          </w:p>
        </w:tc>
      </w:tr>
      <w:tr>
        <w:tc>
          <w:tcPr>
            <w:tcW w:type="dxa" w:w="3000"/>
            <w:tcBorders>
              <w:top w:val="single" w:color="888888" w:sz="4"/>
              <w:left w:val="single" w:color="888888" w:sz="4"/>
              <w:bottom w:val="single" w:color="888888" w:sz="4"/>
              <w:right w:val="single" w:color="888888" w:sz="4"/>
            </w:tcBorders>
            <w:shd w:fill="EAF2F8" w:color="auto" w:val="clear"/>
            <w:tcMar>
              <w:top w:type="dxa" w:w="80"/>
              <w:left w:type="dxa" w:w="100"/>
              <w:bottom w:type="dxa" w:w="80"/>
              <w:right w:type="dxa" w:w="100"/>
            </w:tcMar>
            <w:vAlign w:val="top"/>
          </w:tcPr>
          <w:p>
            <w:pPr>
              <w:spacing w:after="0" w:line="260"/>
              <w:jc w:val="left"/>
            </w:pPr>
            <w:r>
              <w:rPr>
                <w:rFonts w:ascii="Arial" w:cs="Arial" w:eastAsia="Arial" w:hAnsi="Arial"/>
                <w:b/>
                <w:bCs/>
                <w:sz w:val="20"/>
                <w:szCs w:val="20"/>
              </w:rPr>
              <w:t xml:space="preserve">Document handling</w:t>
            </w:r>
          </w:p>
        </w:tc>
        <w:tc>
          <w:tcPr>
            <w:tcW w:type="dxa" w:w="3013"/>
            <w:tcBorders>
              <w:top w:val="single" w:color="888888" w:sz="4"/>
              <w:left w:val="single" w:color="888888" w:sz="4"/>
              <w:bottom w:val="single" w:color="888888" w:sz="4"/>
              <w:right w:val="single" w:color="888888" w:sz="4"/>
            </w:tcBorders>
            <w:tcMar>
              <w:top w:type="dxa" w:w="80"/>
              <w:left w:type="dxa" w:w="100"/>
              <w:bottom w:type="dxa" w:w="80"/>
              <w:right w:type="dxa" w:w="100"/>
            </w:tcMar>
            <w:vAlign w:val="top"/>
          </w:tcPr>
          <w:p>
            <w:pPr>
              <w:spacing w:after="0" w:line="260"/>
              <w:jc w:val="left"/>
            </w:pPr>
            <w:r>
              <w:rPr>
                <w:rFonts w:ascii="Arial" w:cs="Arial" w:eastAsia="Arial" w:hAnsi="Arial"/>
                <w:sz w:val="20"/>
                <w:szCs w:val="20"/>
              </w:rPr>
              <w:t xml:space="preserve">Routine; CIPC e-filing portal; SA patent attorney signs.</w:t>
            </w:r>
          </w:p>
        </w:tc>
        <w:tc>
          <w:tcPr>
            <w:tcW w:type="dxa" w:w="3013"/>
            <w:tcBorders>
              <w:top w:val="single" w:color="888888" w:sz="4"/>
              <w:left w:val="single" w:color="888888" w:sz="4"/>
              <w:bottom w:val="single" w:color="888888" w:sz="4"/>
              <w:right w:val="single" w:color="888888" w:sz="4"/>
            </w:tcBorders>
            <w:tcMar>
              <w:top w:type="dxa" w:w="80"/>
              <w:left w:type="dxa" w:w="100"/>
              <w:bottom w:type="dxa" w:w="80"/>
              <w:right w:type="dxa" w:w="100"/>
            </w:tcMar>
            <w:vAlign w:val="top"/>
          </w:tcPr>
          <w:p>
            <w:pPr>
              <w:spacing w:after="0" w:line="260"/>
              <w:jc w:val="left"/>
            </w:pPr>
            <w:r>
              <w:rPr>
                <w:rFonts w:ascii="Arial" w:cs="Arial" w:eastAsia="Arial" w:hAnsi="Arial"/>
                <w:sz w:val="20"/>
                <w:szCs w:val="20"/>
              </w:rPr>
              <w:t xml:space="preserve">Direct ePCT filing; signature requirements identical; client must still maintain SA priority record.</w:t>
            </w:r>
          </w:p>
        </w:tc>
      </w:tr>
      <w:tr>
        <w:tc>
          <w:tcPr>
            <w:tcW w:type="dxa" w:w="3000"/>
            <w:tcBorders>
              <w:top w:val="single" w:color="888888" w:sz="4"/>
              <w:left w:val="single" w:color="888888" w:sz="4"/>
              <w:bottom w:val="single" w:color="888888" w:sz="4"/>
              <w:right w:val="single" w:color="888888" w:sz="4"/>
            </w:tcBorders>
            <w:shd w:fill="EAF2F8" w:color="auto" w:val="clear"/>
            <w:tcMar>
              <w:top w:type="dxa" w:w="80"/>
              <w:left w:type="dxa" w:w="100"/>
              <w:bottom w:type="dxa" w:w="80"/>
              <w:right w:type="dxa" w:w="100"/>
            </w:tcMar>
            <w:vAlign w:val="top"/>
          </w:tcPr>
          <w:p>
            <w:pPr>
              <w:spacing w:after="0" w:line="260"/>
              <w:jc w:val="left"/>
            </w:pPr>
            <w:r>
              <w:rPr>
                <w:rFonts w:ascii="Arial" w:cs="Arial" w:eastAsia="Arial" w:hAnsi="Arial"/>
                <w:b/>
                <w:bCs/>
                <w:sz w:val="20"/>
                <w:szCs w:val="20"/>
              </w:rPr>
              <w:t xml:space="preserve">Total marginal cost</w:t>
            </w:r>
          </w:p>
        </w:tc>
        <w:tc>
          <w:tcPr>
            <w:tcW w:type="dxa" w:w="3013"/>
            <w:tcBorders>
              <w:top w:val="single" w:color="888888" w:sz="4"/>
              <w:left w:val="single" w:color="888888" w:sz="4"/>
              <w:bottom w:val="single" w:color="888888" w:sz="4"/>
              <w:right w:val="single" w:color="888888" w:sz="4"/>
            </w:tcBorders>
            <w:shd w:fill="E2EFD9" w:color="auto" w:val="clear"/>
            <w:tcMar>
              <w:top w:type="dxa" w:w="80"/>
              <w:left w:type="dxa" w:w="100"/>
              <w:bottom w:type="dxa" w:w="80"/>
              <w:right w:type="dxa" w:w="100"/>
            </w:tcMar>
            <w:vAlign w:val="top"/>
          </w:tcPr>
          <w:p>
            <w:pPr>
              <w:spacing w:after="0" w:line="260"/>
              <w:jc w:val="left"/>
            </w:pPr>
            <w:r>
              <w:rPr>
                <w:rFonts w:ascii="Arial" w:cs="Arial" w:eastAsia="Arial" w:hAnsi="Arial"/>
                <w:sz w:val="20"/>
                <w:szCs w:val="20"/>
              </w:rPr>
              <w:t xml:space="preserve">Baseline.</w:t>
            </w:r>
          </w:p>
        </w:tc>
        <w:tc>
          <w:tcPr>
            <w:tcW w:type="dxa" w:w="3013"/>
            <w:tcBorders>
              <w:top w:val="single" w:color="888888" w:sz="4"/>
              <w:left w:val="single" w:color="888888" w:sz="4"/>
              <w:bottom w:val="single" w:color="888888" w:sz="4"/>
              <w:right w:val="single" w:color="888888" w:sz="4"/>
            </w:tcBorders>
            <w:shd w:fill="F8CBAD" w:color="auto" w:val="clear"/>
            <w:tcMar>
              <w:top w:type="dxa" w:w="80"/>
              <w:left w:type="dxa" w:w="100"/>
              <w:bottom w:type="dxa" w:w="80"/>
              <w:right w:type="dxa" w:w="100"/>
            </w:tcMar>
            <w:vAlign w:val="top"/>
          </w:tcPr>
          <w:p>
            <w:pPr>
              <w:spacing w:after="0" w:line="260"/>
              <w:jc w:val="left"/>
            </w:pPr>
            <w:r>
              <w:rPr>
                <w:rFonts w:ascii="Arial" w:cs="Arial" w:eastAsia="Arial" w:hAnsi="Arial"/>
                <w:sz w:val="20"/>
                <w:szCs w:val="20"/>
              </w:rPr>
              <w:t xml:space="preserve">~CHF 100 - ZAR 590 = approximately ZAR 1,500 saving over CIPC — wholly offset by s 23A friction.</w:t>
            </w:r>
          </w:p>
        </w:tc>
      </w:tr>
    </w:tbl>
    <w:p>
      <w:pPr>
        <w:pStyle w:val="Heading2"/>
        <w:spacing w:after="140" w:before="280"/>
      </w:pPr>
      <w:r>
        <w:rPr>
          <w:rFonts w:ascii="Arial" w:cs="Arial" w:eastAsia="Arial" w:hAnsi="Arial"/>
          <w:b/>
          <w:bCs/>
          <w:color w:val="1F3864"/>
          <w:sz w:val="26"/>
          <w:szCs w:val="26"/>
        </w:rPr>
        <w:t xml:space="preserve">6.2  Recommendation</w:t>
      </w:r>
    </w:p>
    <w:p>
      <w:pPr>
        <w:spacing w:after="120" w:before="0" w:line="300"/>
        <w:jc w:val="both"/>
      </w:pPr>
      <w:r>
        <w:rPr>
          <w:rFonts w:ascii="Arial" w:cs="Arial" w:eastAsia="Arial" w:hAnsi="Arial"/>
          <w:b/>
          <w:bCs/>
          <w:sz w:val="22"/>
          <w:szCs w:val="22"/>
        </w:rPr>
        <w:t xml:space="preserve">RECOMMENDED ROUTE: </w:t>
      </w:r>
      <w:r>
        <w:rPr>
          <w:rFonts w:ascii="Arial" w:cs="Arial" w:eastAsia="Arial" w:hAnsi="Arial"/>
          <w:b/>
          <w:bCs/>
          <w:color w:val="1F3864"/>
          <w:sz w:val="22"/>
          <w:szCs w:val="22"/>
        </w:rPr>
        <w:t xml:space="preserve">File the PCT application via CIPC as Receiving Office. ISA election: European Patent Office.</w:t>
      </w:r>
    </w:p>
    <w:p>
      <w:pPr>
        <w:spacing w:after="120" w:before="0" w:line="300"/>
        <w:jc w:val="both"/>
      </w:pPr>
      <w:r>
        <w:rPr>
          <w:rFonts w:ascii="Arial" w:cs="Arial" w:eastAsia="Arial" w:hAnsi="Arial"/>
          <w:sz w:val="22"/>
          <w:szCs w:val="22"/>
        </w:rPr>
        <w:t xml:space="preserve">The recommendation is not driven by transmittal-fee economics (the gap is trivial) but by the foreign-filing-licence regime under section 23A of the Patents Act. Section 23A prohibits a resident from filing a patent application outside the Republic in respect of an invention made in the Republic without first obtaining written authority from the Registrar, except where the application has first been filed in the Republic and six weeks have elapsed since that filing. Filing via CIPC as Receiving Office discharges this obligation as a matter of routine: CIPC's act of transmittal under PCT Article 12 is treated as a domestic filing and the subsequent transmission to the IB does not require separate s 23A authority.</w:t>
      </w:r>
    </w:p>
    <w:p>
      <w:pPr>
        <w:spacing w:after="120" w:before="0" w:line="300"/>
        <w:jc w:val="both"/>
      </w:pPr>
      <w:r>
        <w:rPr>
          <w:rFonts w:ascii="Arial" w:cs="Arial" w:eastAsia="Arial" w:hAnsi="Arial"/>
          <w:sz w:val="22"/>
          <w:szCs w:val="22"/>
        </w:rPr>
        <w:t xml:space="preserve">Filing directly with WIPO/IB as RO, while permitted under PCT Rule 19.1(a)(iii) for South African nationals, does not benefit from this routing presumption. The applicant must apply separately for s 23A authority before transmitting any matter abroad. CIPC's processing of s 23A applications is not predictable in timing (2-6 weeks observed in 2025 practice), and non-compliance with s 23A is a criminal offence under section 78. The procedural risk is not worth the ZAR 1,500 saving.</w:t>
      </w:r>
    </w:p>
    <w:p>
      <w:pPr>
        <w:spacing w:after="120" w:before="0" w:line="300"/>
        <w:jc w:val="both"/>
      </w:pPr>
      <w:r>
        <w:rPr>
          <w:rFonts w:ascii="Arial" w:cs="Arial" w:eastAsia="Arial" w:hAnsi="Arial"/>
          <w:sz w:val="22"/>
          <w:szCs w:val="22"/>
        </w:rPr>
        <w:t xml:space="preserve">ISA election is independent of RO. The EPO is the recommended ISA because (i) EPO ISRs are of consistently high quality and provide reliable signal for national-phase decisions, (ii) the EPO is a strict jurisdiction on software-patent technical character and so an EPO Written Opinion provides the most rigorous test of TrustSquare's claims, and (iii) the EPO ISR is admissible without translation in many of the priority national-phase markets (EU national phase via EPO, UK, and informally in the USPTO).</w:t>
      </w:r>
    </w:p>
    <w:p>
      <w:pPr>
        <w:pStyle w:val="Heading2"/>
        <w:spacing w:after="140" w:before="280"/>
      </w:pPr>
      <w:r>
        <w:rPr>
          <w:rFonts w:ascii="Arial" w:cs="Arial" w:eastAsia="Arial" w:hAnsi="Arial"/>
          <w:b/>
          <w:bCs/>
          <w:color w:val="1F3864"/>
          <w:sz w:val="26"/>
          <w:szCs w:val="26"/>
        </w:rPr>
        <w:t xml:space="preserve">6.3  Procedural steps for the recommended route</w:t>
      </w:r>
    </w:p>
    <w:p>
      <w:pPr>
        <w:pStyle w:val="ListParagraph"/>
        <w:numPr>
          <w:ilvl w:val="0"/>
          <w:numId w:val="3"/>
        </w:numPr>
        <w:spacing w:after="80" w:line="280"/>
      </w:pPr>
      <w:r>
        <w:rPr>
          <w:rFonts w:ascii="Arial" w:cs="Arial" w:eastAsia="Arial" w:hAnsi="Arial"/>
          <w:sz w:val="22"/>
          <w:szCs w:val="22"/>
        </w:rPr>
        <w:t xml:space="preserve">Month 0 (target: on or before 1 June 2026): file SA provisional patent at CIPC via iponline.cipc.co.za. The provisional must be prepared on the basis of the amended claims set out in Section 8 of this memorandum, not the unamended claims in the strategy document. Filing receipt is the priority date.</w:t>
      </w:r>
    </w:p>
    <w:p>
      <w:pPr>
        <w:pStyle w:val="ListParagraph"/>
        <w:numPr>
          <w:ilvl w:val="0"/>
          <w:numId w:val="3"/>
        </w:numPr>
        <w:spacing w:after="80" w:line="280"/>
      </w:pPr>
      <w:r>
        <w:rPr>
          <w:rFonts w:ascii="Arial" w:cs="Arial" w:eastAsia="Arial" w:hAnsi="Arial"/>
          <w:sz w:val="22"/>
          <w:szCs w:val="22"/>
        </w:rPr>
        <w:t xml:space="preserve">Month 0-3: complete prior-art literature search at USPTO and EPO patent databases (G06Q 30/00 family); instruct attorney to convert provisional into a PCT-compliant specification.</w:t>
      </w:r>
    </w:p>
    <w:p>
      <w:pPr>
        <w:pStyle w:val="ListParagraph"/>
        <w:numPr>
          <w:ilvl w:val="0"/>
          <w:numId w:val="3"/>
        </w:numPr>
        <w:spacing w:after="80" w:line="280"/>
      </w:pPr>
      <w:r>
        <w:rPr>
          <w:rFonts w:ascii="Arial" w:cs="Arial" w:eastAsia="Arial" w:hAnsi="Arial"/>
          <w:sz w:val="22"/>
          <w:szCs w:val="22"/>
        </w:rPr>
        <w:t xml:space="preserve">Month 3-6: attorney drafts PCT Request Form (PCT/RO/101), description, claims, abstract, and any drawings. Verify alignment of PCT claim set to provisional priority document; any material that is new to the PCT (i.e., not in the provisional) does not benefit from the priority date.</w:t>
      </w:r>
    </w:p>
    <w:p>
      <w:pPr>
        <w:pStyle w:val="ListParagraph"/>
        <w:numPr>
          <w:ilvl w:val="0"/>
          <w:numId w:val="3"/>
        </w:numPr>
        <w:spacing w:after="80" w:line="280"/>
      </w:pPr>
      <w:r>
        <w:rPr>
          <w:rFonts w:ascii="Arial" w:cs="Arial" w:eastAsia="Arial" w:hAnsi="Arial"/>
          <w:sz w:val="22"/>
          <w:szCs w:val="22"/>
        </w:rPr>
        <w:t xml:space="preserve">Month 10-11 (HARD DEADLINE): file PCT application via CIPC e-filing portal. Pay CIPC transmittal fee (ZAR ~590). Elect EPO as ISA. Pay ISA search fee (EUR 1,775). Pay WIPO international filing fee (CHF 1,330).</w:t>
      </w:r>
    </w:p>
    <w:p>
      <w:pPr>
        <w:pStyle w:val="ListParagraph"/>
        <w:numPr>
          <w:ilvl w:val="0"/>
          <w:numId w:val="3"/>
        </w:numPr>
        <w:spacing w:after="80" w:line="280"/>
      </w:pPr>
      <w:r>
        <w:rPr>
          <w:rFonts w:ascii="Arial" w:cs="Arial" w:eastAsia="Arial" w:hAnsi="Arial"/>
          <w:sz w:val="22"/>
          <w:szCs w:val="22"/>
        </w:rPr>
        <w:t xml:space="preserve">Month 12-13: CIPC transmits PCT application to WIPO International Bureau (Geneva).</w:t>
      </w:r>
    </w:p>
    <w:p>
      <w:pPr>
        <w:pStyle w:val="ListParagraph"/>
        <w:numPr>
          <w:ilvl w:val="0"/>
          <w:numId w:val="3"/>
        </w:numPr>
        <w:spacing w:after="80" w:line="280"/>
      </w:pPr>
      <w:r>
        <w:rPr>
          <w:rFonts w:ascii="Arial" w:cs="Arial" w:eastAsia="Arial" w:hAnsi="Arial"/>
          <w:sz w:val="22"/>
          <w:szCs w:val="22"/>
        </w:rPr>
        <w:t xml:space="preserve">Month 16-18: EPO issues International Search Report and Written Opinion. Review with attorney. ISR provides the substantive intelligence on which national-phase decisions are made.</w:t>
      </w:r>
    </w:p>
    <w:p>
      <w:pPr>
        <w:pStyle w:val="ListParagraph"/>
        <w:numPr>
          <w:ilvl w:val="0"/>
          <w:numId w:val="3"/>
        </w:numPr>
        <w:spacing w:after="80" w:line="280"/>
      </w:pPr>
      <w:r>
        <w:rPr>
          <w:rFonts w:ascii="Arial" w:cs="Arial" w:eastAsia="Arial" w:hAnsi="Arial"/>
          <w:sz w:val="22"/>
          <w:szCs w:val="22"/>
        </w:rPr>
        <w:t xml:space="preserve">Month 18-20: strategic decision on national-phase elections. Recommended election set (based on whitepaper expansion roadmap): South Africa (mandatory home market), United States, EPO regional phase (covers 38 contracting states), United Kingdom (separate from EPO post-Brexit), Kenya (KIPI), Nigeria.</w:t>
      </w:r>
    </w:p>
    <w:p>
      <w:pPr>
        <w:pStyle w:val="ListParagraph"/>
        <w:numPr>
          <w:ilvl w:val="0"/>
          <w:numId w:val="3"/>
        </w:numPr>
        <w:spacing w:after="80" w:line="280"/>
      </w:pPr>
      <w:r>
        <w:rPr>
          <w:rFonts w:ascii="Arial" w:cs="Arial" w:eastAsia="Arial" w:hAnsi="Arial"/>
          <w:sz w:val="22"/>
          <w:szCs w:val="22"/>
        </w:rPr>
        <w:t xml:space="preserve">Month 28-30 (HARD DEADLINE): file national / regional phase applications in elected jurisdictions, with translations where required (EPO claims into the procedural language; KIPI and Nigerian Patent Office filings in English).</w:t>
      </w:r>
    </w:p>
    <w:p>
      <w:pPr>
        <w:pStyle w:val="ListParagraph"/>
        <w:numPr>
          <w:ilvl w:val="0"/>
          <w:numId w:val="3"/>
        </w:numPr>
        <w:spacing w:after="80" w:line="280"/>
      </w:pPr>
      <w:r>
        <w:rPr>
          <w:rFonts w:ascii="Arial" w:cs="Arial" w:eastAsia="Arial" w:hAnsi="Arial"/>
          <w:sz w:val="22"/>
          <w:szCs w:val="22"/>
        </w:rPr>
        <w:t xml:space="preserve">Optional, Month 19-22: Chapter II demand for International Preliminary Examination. Recommended ONLY if the ISR Written Opinion identifies prior art that requires negotiated amendments before national phase. Default: skip.</w:t>
      </w:r>
    </w:p>
    <w:p>
      <w:pPr>
        <w:pStyle w:val="Heading2"/>
        <w:spacing w:after="140" w:before="280"/>
      </w:pPr>
      <w:r>
        <w:rPr>
          <w:rFonts w:ascii="Arial" w:cs="Arial" w:eastAsia="Arial" w:hAnsi="Arial"/>
          <w:b/>
          <w:bCs/>
          <w:color w:val="1F3864"/>
          <w:sz w:val="26"/>
          <w:szCs w:val="26"/>
        </w:rPr>
        <w:t xml:space="preserve">6.4  Small-entity / developing-country reductions</w:t>
      </w:r>
    </w:p>
    <w:p>
      <w:pPr>
        <w:spacing w:after="120" w:before="0" w:line="300"/>
        <w:jc w:val="both"/>
      </w:pPr>
      <w:r>
        <w:rPr>
          <w:rFonts w:ascii="Arial" w:cs="Arial" w:eastAsia="Arial" w:hAnsi="Arial"/>
          <w:sz w:val="22"/>
          <w:szCs w:val="22"/>
        </w:rPr>
        <w:t xml:space="preserve">WIPO Schedule of Fees Annex item 5(a) provides a 90% reduction on certain PCT fees for applicants who are natural persons and nationals of, and resident in, a state listed as a low-income or lower-middle-income economy. South Africa is currently classified as upper-middle-income and is NOT on the list. Item 5(b) provides the 90% reduction for natural persons who are nationals of, and resident in, certain other states whose per capita GDP is below a stated threshold and where fewer than 10 PCT applications per year per million population are filed. South Africa, again, does not qualify.</w:t>
      </w:r>
    </w:p>
    <w:p>
      <w:pPr>
        <w:spacing w:after="120" w:before="0" w:line="300"/>
        <w:jc w:val="both"/>
      </w:pPr>
      <w:r>
        <w:rPr>
          <w:rFonts w:ascii="Arial" w:cs="Arial" w:eastAsia="Arial" w:hAnsi="Arial"/>
          <w:sz w:val="22"/>
          <w:szCs w:val="22"/>
        </w:rPr>
        <w:t xml:space="preserve">More critically: TrustSquare (Pty) Ltd is a corporate applicant. The WIPO reductions are available to natural-person applicants only (Annex item 5(a)(i)). If the patent were filed in the name of an individual co-founder, qualifying on residence grounds were satisfied, and the corporate entity took an assignment post-filing, the reduction could be captured — but this would require careful structuring with the instructed firm and is not, in the present author's view, worth the cost in title-clarity and assignment risk. RECOMMENDATION: file in the name of TrustSquare (Pty) Ltd and budget for full fees.</w:t>
      </w:r>
    </w:p>
    <w:p>
      <w:pPr>
        <w:pStyle w:val="Heading1"/>
        <w:spacing w:after="180" w:before="360"/>
      </w:pPr>
      <w:r>
        <w:rPr>
          <w:rFonts w:ascii="Arial" w:cs="Arial" w:eastAsia="Arial" w:hAnsi="Arial"/>
          <w:b/>
          <w:bCs/>
          <w:color w:val="1F3864"/>
          <w:sz w:val="32"/>
          <w:szCs w:val="32"/>
        </w:rPr>
        <w:t xml:space="preserve">7.  Task 5 — Claim Language Gap Audit</w:t>
      </w:r>
    </w:p>
    <w:p>
      <w:pPr>
        <w:spacing w:after="120" w:before="0" w:line="300"/>
        <w:jc w:val="both"/>
      </w:pPr>
      <w:r>
        <w:rPr>
          <w:rFonts w:ascii="Arial" w:cs="Arial" w:eastAsia="Arial" w:hAnsi="Arial"/>
          <w:sz w:val="22"/>
          <w:szCs w:val="22"/>
        </w:rPr>
        <w:t xml:space="preserve">Each of the seven claims has been audited for: (i) ambiguous or non-standard patent terminology; (ii) business-method versus technical framing under section 25(2); (iii) absence of dependent claims providing fallback protection; (iv) design-around vulnerability where a competitor could re-implement the disclosed concept with a trivial modification and thereby escape the literal claim language.</w:t>
      </w:r>
    </w:p>
    <w:p>
      <w:pPr>
        <w:pStyle w:val="Heading2"/>
        <w:spacing w:after="140" w:before="280"/>
      </w:pPr>
      <w:r>
        <w:rPr>
          <w:rFonts w:ascii="Arial" w:cs="Arial" w:eastAsia="Arial" w:hAnsi="Arial"/>
          <w:b/>
          <w:bCs/>
          <w:color w:val="1F3864"/>
          <w:sz w:val="26"/>
          <w:szCs w:val="26"/>
        </w:rPr>
        <w:t xml:space="preserve">7.1  Claim-by-claim gap analysis</w:t>
      </w:r>
    </w:p>
    <w:p>
      <w:pPr>
        <w:pStyle w:val="Heading3"/>
        <w:spacing w:after="100" w:before="200"/>
      </w:pPr>
      <w:r>
        <w:rPr>
          <w:rFonts w:ascii="Arial" w:cs="Arial" w:eastAsia="Arial" w:hAnsi="Arial"/>
          <w:b/>
          <w:bCs/>
          <w:color w:val="2E74B5"/>
          <w:sz w:val="23"/>
          <w:szCs w:val="23"/>
        </w:rPr>
        <w:t xml:space="preserve">Claim 1 — Unified Participation Model</w:t>
      </w:r>
    </w:p>
    <w:p>
      <w:pPr>
        <w:spacing w:after="120" w:before="0" w:line="300"/>
        <w:jc w:val="both"/>
      </w:pPr>
      <w:r>
        <w:rPr>
          <w:rFonts w:ascii="Arial" w:cs="Arial" w:eastAsia="Arial" w:hAnsi="Arial"/>
          <w:sz w:val="22"/>
          <w:szCs w:val="22"/>
        </w:rPr>
        <w:t xml:space="preserve">Gap (a) — terminology: "is not stored as a database attribute" is a negative limitation that is hard to enforce and easy to design around (any cached or memoised role value arguably violates and arguably does not). Replace with positive recitation of an authorisation-engine component.</w:t>
      </w:r>
    </w:p>
    <w:p>
      <w:pPr>
        <w:spacing w:after="120" w:before="0" w:line="300"/>
        <w:jc w:val="both"/>
      </w:pPr>
      <w:r>
        <w:rPr>
          <w:rFonts w:ascii="Arial" w:cs="Arial" w:eastAsia="Arial" w:hAnsi="Arial"/>
          <w:sz w:val="22"/>
          <w:szCs w:val="22"/>
        </w:rPr>
        <w:t xml:space="preserve">Gap (b) — "transaction state" is undefined. Patent claim language should recite the specific data structures (the listings relation and the introductions relation).</w:t>
      </w:r>
    </w:p>
    <w:p>
      <w:pPr>
        <w:spacing w:after="120" w:before="0" w:line="300"/>
        <w:jc w:val="both"/>
      </w:pPr>
      <w:r>
        <w:rPr>
          <w:rFonts w:ascii="Arial" w:cs="Arial" w:eastAsia="Arial" w:hAnsi="Arial"/>
          <w:sz w:val="22"/>
          <w:szCs w:val="22"/>
        </w:rPr>
        <w:t xml:space="preserve">Gap (c) — no technical effect recited. Add: elimination of schema-modification operations on role transition.</w:t>
      </w:r>
    </w:p>
    <w:p>
      <w:pPr>
        <w:spacing w:after="120" w:before="0" w:line="300"/>
        <w:jc w:val="both"/>
      </w:pPr>
      <w:r>
        <w:rPr>
          <w:rFonts w:ascii="Arial" w:cs="Arial" w:eastAsia="Arial" w:hAnsi="Arial"/>
          <w:sz w:val="22"/>
          <w:szCs w:val="22"/>
        </w:rPr>
        <w:t xml:space="preserve">Gap (d) — no dependent claims. Add at least four (see Section 8.1 below).</w:t>
      </w:r>
    </w:p>
    <w:p>
      <w:pPr>
        <w:spacing w:after="120" w:before="0" w:line="300"/>
        <w:jc w:val="both"/>
      </w:pPr>
      <w:r>
        <w:rPr>
          <w:rFonts w:ascii="Arial" w:cs="Arial" w:eastAsia="Arial" w:hAnsi="Arial"/>
          <w:sz w:val="22"/>
          <w:szCs w:val="22"/>
        </w:rPr>
        <w:t xml:space="preserve">Gap (e) — design-around: a competitor could persist a denormalised role attribute as an optimisation cache (rebuilt on each request from transaction state) and avoid the literal language. Cure: recite the absence of "any persisted attribute indicative of buyer-role or seller-role membership."</w:t>
      </w:r>
    </w:p>
    <w:p>
      <w:pPr>
        <w:pStyle w:val="Heading3"/>
        <w:spacing w:after="100" w:before="200"/>
      </w:pPr>
      <w:r>
        <w:rPr>
          <w:rFonts w:ascii="Arial" w:cs="Arial" w:eastAsia="Arial" w:hAnsi="Arial"/>
          <w:b/>
          <w:bCs/>
          <w:color w:val="2E74B5"/>
          <w:sz w:val="23"/>
          <w:szCs w:val="23"/>
        </w:rPr>
        <w:t xml:space="preserve">Claim 2 — Tuppence Introduction Currency</w:t>
      </w:r>
    </w:p>
    <w:p>
      <w:pPr>
        <w:spacing w:after="120" w:before="0" w:line="300"/>
        <w:jc w:val="both"/>
      </w:pPr>
      <w:r>
        <w:rPr>
          <w:rFonts w:ascii="Arial" w:cs="Arial" w:eastAsia="Arial" w:hAnsi="Arial"/>
          <w:sz w:val="22"/>
          <w:szCs w:val="22"/>
        </w:rPr>
        <w:t xml:space="preserve">Gap (a) — claim recites three simultaneous functions ("spam filter, commitment signal, and trust score input"). Functional recitations in this form weaken the claim by tying novelty to a triple-conjunctive effect. Re-state as structural limitations.</w:t>
      </w:r>
    </w:p>
    <w:p>
      <w:pPr>
        <w:spacing w:after="120" w:before="0" w:line="300"/>
        <w:jc w:val="both"/>
      </w:pPr>
      <w:r>
        <w:rPr>
          <w:rFonts w:ascii="Arial" w:cs="Arial" w:eastAsia="Arial" w:hAnsi="Arial"/>
          <w:sz w:val="22"/>
          <w:szCs w:val="22"/>
        </w:rPr>
        <w:t xml:space="preserve">Gap (b) — non-transferability is asserted but not technically defined. A competitor could implement Tuppence-like credit that is technically transferable but described as "non-transferable" in marketing. Cure: recite the absence of any API endpoint that moves credit between accounts.</w:t>
      </w:r>
    </w:p>
    <w:p>
      <w:pPr>
        <w:spacing w:after="120" w:before="0" w:line="300"/>
        <w:jc w:val="both"/>
      </w:pPr>
      <w:r>
        <w:rPr>
          <w:rFonts w:ascii="Arial" w:cs="Arial" w:eastAsia="Arial" w:hAnsi="Arial"/>
          <w:sz w:val="22"/>
          <w:szCs w:val="22"/>
        </w:rPr>
        <w:t xml:space="preserve">Gap (c) — atomic restitution-on-decline is not recited and is the strongest distinguishing feature.</w:t>
      </w:r>
    </w:p>
    <w:p>
      <w:pPr>
        <w:spacing w:after="120" w:before="0" w:line="300"/>
        <w:jc w:val="both"/>
      </w:pPr>
      <w:r>
        <w:rPr>
          <w:rFonts w:ascii="Arial" w:cs="Arial" w:eastAsia="Arial" w:hAnsi="Arial"/>
          <w:sz w:val="22"/>
          <w:szCs w:val="22"/>
        </w:rPr>
        <w:t xml:space="preserve">Gap (d) — no dependent claims.</w:t>
      </w:r>
    </w:p>
    <w:p>
      <w:pPr>
        <w:pStyle w:val="Heading3"/>
        <w:spacing w:after="100" w:before="200"/>
      </w:pPr>
      <w:r>
        <w:rPr>
          <w:rFonts w:ascii="Arial" w:cs="Arial" w:eastAsia="Arial" w:hAnsi="Arial"/>
          <w:b/>
          <w:bCs/>
          <w:color w:val="2E74B5"/>
          <w:sz w:val="23"/>
          <w:szCs w:val="23"/>
        </w:rPr>
        <w:t xml:space="preserve">Claim 3 — Anonymous Introduction Protocol</w:t>
      </w:r>
    </w:p>
    <w:p>
      <w:pPr>
        <w:spacing w:after="120" w:before="0" w:line="300"/>
        <w:jc w:val="both"/>
      </w:pPr>
      <w:r>
        <w:rPr>
          <w:rFonts w:ascii="Arial" w:cs="Arial" w:eastAsia="Arial" w:hAnsi="Arial"/>
          <w:sz w:val="22"/>
          <w:szCs w:val="22"/>
        </w:rPr>
        <w:t xml:space="preserve">Gap (a) — "PII" is not defined; patent claims should not import compliance terminology. Recite the specific fields (email address, telephone number, surname).</w:t>
      </w:r>
    </w:p>
    <w:p>
      <w:pPr>
        <w:spacing w:after="120" w:before="0" w:line="300"/>
        <w:jc w:val="both"/>
      </w:pPr>
      <w:r>
        <w:rPr>
          <w:rFonts w:ascii="Arial" w:cs="Arial" w:eastAsia="Arial" w:hAnsi="Arial"/>
          <w:sz w:val="22"/>
          <w:szCs w:val="22"/>
        </w:rPr>
        <w:t xml:space="preserve">Gap (b) — "simultaneous" is not defined as a technical limitation. Add: "as a single transactional operation such that no temporal asymmetry exists".</w:t>
      </w:r>
    </w:p>
    <w:p>
      <w:pPr>
        <w:spacing w:after="120" w:before="0" w:line="300"/>
        <w:jc w:val="both"/>
      </w:pPr>
      <w:r>
        <w:rPr>
          <w:rFonts w:ascii="Arial" w:cs="Arial" w:eastAsia="Arial" w:hAnsi="Arial"/>
          <w:sz w:val="22"/>
          <w:szCs w:val="22"/>
        </w:rPr>
        <w:t xml:space="preserve">Gap (c) — what happens on decline is not recited; the destruction of the introduction record and the non-disclosure to either party is a strong technical limitation that should be claimed.</w:t>
      </w:r>
    </w:p>
    <w:p>
      <w:pPr>
        <w:spacing w:after="120" w:before="0" w:line="300"/>
        <w:jc w:val="both"/>
      </w:pPr>
      <w:r>
        <w:rPr>
          <w:rFonts w:ascii="Arial" w:cs="Arial" w:eastAsia="Arial" w:hAnsi="Arial"/>
          <w:sz w:val="22"/>
          <w:szCs w:val="22"/>
        </w:rPr>
        <w:t xml:space="preserve">Gap (d) — no dependent claims.</w:t>
      </w:r>
    </w:p>
    <w:p>
      <w:pPr>
        <w:pStyle w:val="Heading3"/>
        <w:spacing w:after="100" w:before="200"/>
      </w:pPr>
      <w:r>
        <w:rPr>
          <w:rFonts w:ascii="Arial" w:cs="Arial" w:eastAsia="Arial" w:hAnsi="Arial"/>
          <w:b/>
          <w:bCs/>
          <w:color w:val="2E74B5"/>
          <w:sz w:val="23"/>
          <w:szCs w:val="23"/>
        </w:rPr>
        <w:t xml:space="preserve">Claim 4 — Trust Score Composite</w:t>
      </w:r>
    </w:p>
    <w:p>
      <w:pPr>
        <w:spacing w:after="120" w:before="0" w:line="300"/>
        <w:jc w:val="both"/>
      </w:pPr>
      <w:r>
        <w:rPr>
          <w:rFonts w:ascii="Arial" w:cs="Arial" w:eastAsia="Arial" w:hAnsi="Arial"/>
          <w:sz w:val="22"/>
          <w:szCs w:val="22"/>
        </w:rPr>
        <w:t xml:space="preserve">Gap (a) — overlap with at least three known prior-art systems (see Section 3.2.2).</w:t>
      </w:r>
    </w:p>
    <w:p>
      <w:pPr>
        <w:spacing w:after="120" w:before="0" w:line="300"/>
        <w:jc w:val="both"/>
      </w:pPr>
      <w:r>
        <w:rPr>
          <w:rFonts w:ascii="Arial" w:cs="Arial" w:eastAsia="Arial" w:hAnsi="Arial"/>
          <w:sz w:val="22"/>
          <w:szCs w:val="22"/>
        </w:rPr>
        <w:t xml:space="preserve">Gap (b) — "no ability for the seller to modify their own score" is a negative limitation. Recast as a positive tamper-prevention mechanism (write-only audit log; cryptographic timestamp binding).</w:t>
      </w:r>
    </w:p>
    <w:p>
      <w:pPr>
        <w:spacing w:after="120" w:before="0" w:line="300"/>
        <w:jc w:val="both"/>
      </w:pPr>
      <w:r>
        <w:rPr>
          <w:rFonts w:ascii="Arial" w:cs="Arial" w:eastAsia="Arial" w:hAnsi="Arial"/>
          <w:sz w:val="22"/>
          <w:szCs w:val="22"/>
        </w:rPr>
        <w:t xml:space="preserve">Gap (c) — weighting (30/25/25/10/10) is disclosed in the whitepaper but not claimed; specific weightings could form a dependent claim.</w:t>
      </w:r>
    </w:p>
    <w:p>
      <w:pPr>
        <w:spacing w:after="120" w:before="0" w:line="300"/>
        <w:jc w:val="both"/>
      </w:pPr>
      <w:r>
        <w:rPr>
          <w:rFonts w:ascii="Arial" w:cs="Arial" w:eastAsia="Arial" w:hAnsi="Arial"/>
          <w:sz w:val="22"/>
          <w:szCs w:val="22"/>
        </w:rPr>
        <w:t xml:space="preserve">Gap (d) — no dependent claims.</w:t>
      </w:r>
    </w:p>
    <w:p>
      <w:pPr>
        <w:pStyle w:val="Heading3"/>
        <w:spacing w:after="100" w:before="200"/>
      </w:pPr>
      <w:r>
        <w:rPr>
          <w:rFonts w:ascii="Arial" w:cs="Arial" w:eastAsia="Arial" w:hAnsi="Arial"/>
          <w:b/>
          <w:bCs/>
          <w:color w:val="2E74B5"/>
          <w:sz w:val="23"/>
          <w:szCs w:val="23"/>
        </w:rPr>
        <w:t xml:space="preserve">Claim 5 — Geo-Hierarchical Listing Visibility</w:t>
      </w:r>
    </w:p>
    <w:p>
      <w:pPr>
        <w:spacing w:after="120" w:before="0" w:line="300"/>
        <w:jc w:val="both"/>
      </w:pPr>
      <w:r>
        <w:rPr>
          <w:rFonts w:ascii="Arial" w:cs="Arial" w:eastAsia="Arial" w:hAnsi="Arial"/>
          <w:sz w:val="22"/>
          <w:szCs w:val="22"/>
        </w:rPr>
        <w:t xml:space="preserve">Gap (a) — "seller visibility radius is gated by subscription tier" reads as a business / pricing rule. Recast as a query-rewriting middleware operating at the data-access layer.</w:t>
      </w:r>
    </w:p>
    <w:p>
      <w:pPr>
        <w:spacing w:after="120" w:before="0" w:line="300"/>
        <w:jc w:val="both"/>
      </w:pPr>
      <w:r>
        <w:rPr>
          <w:rFonts w:ascii="Arial" w:cs="Arial" w:eastAsia="Arial" w:hAnsi="Arial"/>
          <w:sz w:val="22"/>
          <w:szCs w:val="22"/>
        </w:rPr>
        <w:t xml:space="preserve">Gap (b) — "four-level geographic hierarchy" is fine; recite that the hierarchy is enforced as referential integrity at write time (technical limitation).</w:t>
      </w:r>
    </w:p>
    <w:p>
      <w:pPr>
        <w:spacing w:after="120" w:before="0" w:line="300"/>
        <w:jc w:val="both"/>
      </w:pPr>
      <w:r>
        <w:rPr>
          <w:rFonts w:ascii="Arial" w:cs="Arial" w:eastAsia="Arial" w:hAnsi="Arial"/>
          <w:sz w:val="22"/>
          <w:szCs w:val="22"/>
        </w:rPr>
        <w:t xml:space="preserve">Gap (c) — no protection against client-side circumvention; add a limitation that query-rewriting occurs at data-access layer, not at presentation layer.</w:t>
      </w:r>
    </w:p>
    <w:p>
      <w:pPr>
        <w:spacing w:after="120" w:before="0" w:line="300"/>
        <w:jc w:val="both"/>
      </w:pPr>
      <w:r>
        <w:rPr>
          <w:rFonts w:ascii="Arial" w:cs="Arial" w:eastAsia="Arial" w:hAnsi="Arial"/>
          <w:sz w:val="22"/>
          <w:szCs w:val="22"/>
        </w:rPr>
        <w:t xml:space="preserve">Gap (d) — no dependent claims.</w:t>
      </w:r>
    </w:p>
    <w:p>
      <w:pPr>
        <w:pStyle w:val="Heading3"/>
        <w:spacing w:after="100" w:before="200"/>
      </w:pPr>
      <w:r>
        <w:rPr>
          <w:rFonts w:ascii="Arial" w:cs="Arial" w:eastAsia="Arial" w:hAnsi="Arial"/>
          <w:b/>
          <w:bCs/>
          <w:color w:val="2E74B5"/>
          <w:sz w:val="23"/>
          <w:szCs w:val="23"/>
        </w:rPr>
        <w:t xml:space="preserve">Claim 6 — Founding Seller Cohort Mechanism</w:t>
      </w:r>
    </w:p>
    <w:p>
      <w:pPr>
        <w:spacing w:after="120" w:before="0" w:line="300"/>
        <w:jc w:val="both"/>
      </w:pPr>
      <w:r>
        <w:rPr>
          <w:rFonts w:ascii="Arial" w:cs="Arial" w:eastAsia="Arial" w:hAnsi="Arial"/>
          <w:sz w:val="22"/>
          <w:szCs w:val="22"/>
        </w:rPr>
        <w:t xml:space="preserve">Gap (a) — most severe: claim reads as a business method (the cohort is a marketing concept; the priority placement is a ranking-rule choice). High section 25(2)(c) and (f) exposure.</w:t>
      </w:r>
    </w:p>
    <w:p>
      <w:pPr>
        <w:spacing w:after="120" w:before="0" w:line="300"/>
        <w:jc w:val="both"/>
      </w:pPr>
      <w:r>
        <w:rPr>
          <w:rFonts w:ascii="Arial" w:cs="Arial" w:eastAsia="Arial" w:hAnsi="Arial"/>
          <w:sz w:val="22"/>
          <w:szCs w:val="22"/>
        </w:rPr>
        <w:t xml:space="preserve">Gap (b) — "permanent" and "priority placement" are not technical limitations.</w:t>
      </w:r>
    </w:p>
    <w:p>
      <w:pPr>
        <w:spacing w:after="120" w:before="0" w:line="300"/>
        <w:jc w:val="both"/>
      </w:pPr>
      <w:r>
        <w:rPr>
          <w:rFonts w:ascii="Arial" w:cs="Arial" w:eastAsia="Arial" w:hAnsi="Arial"/>
          <w:sz w:val="22"/>
          <w:szCs w:val="22"/>
        </w:rPr>
        <w:t xml:space="preserve">Gap (c) — no anchoring to any specific technical artefact.</w:t>
      </w:r>
    </w:p>
    <w:p>
      <w:pPr>
        <w:spacing w:after="120" w:before="0" w:line="300"/>
        <w:jc w:val="both"/>
      </w:pPr>
      <w:r>
        <w:rPr>
          <w:rFonts w:ascii="Arial" w:cs="Arial" w:eastAsia="Arial" w:hAnsi="Arial"/>
          <w:sz w:val="22"/>
          <w:szCs w:val="22"/>
        </w:rPr>
        <w:t xml:space="preserve">Recommendation: demote to a dependent claim under Claim 5 or Claim 7 and reframe the substantive content as a cold-start ranking augmentation with explicit technical limitations (see Section 8.6).</w:t>
      </w:r>
    </w:p>
    <w:p>
      <w:pPr>
        <w:pStyle w:val="Heading3"/>
        <w:spacing w:after="100" w:before="200"/>
      </w:pPr>
      <w:r>
        <w:rPr>
          <w:rFonts w:ascii="Arial" w:cs="Arial" w:eastAsia="Arial" w:hAnsi="Arial"/>
          <w:b/>
          <w:bCs/>
          <w:color w:val="2E74B5"/>
          <w:sz w:val="23"/>
          <w:szCs w:val="23"/>
        </w:rPr>
        <w:t xml:space="preserve">Claim 7 — Combination Claim</w:t>
      </w:r>
    </w:p>
    <w:p>
      <w:pPr>
        <w:spacing w:after="120" w:before="0" w:line="300"/>
        <w:jc w:val="both"/>
      </w:pPr>
      <w:r>
        <w:rPr>
          <w:rFonts w:ascii="Arial" w:cs="Arial" w:eastAsia="Arial" w:hAnsi="Arial"/>
          <w:sz w:val="22"/>
          <w:szCs w:val="22"/>
        </w:rPr>
        <w:t xml:space="preserve">Gap (a) — combination claims must explicitly recite each combined element by reference. The current language is too high-level ("a marketplace system combining claims 1 through 6").</w:t>
      </w:r>
    </w:p>
    <w:p>
      <w:pPr>
        <w:spacing w:after="120" w:before="0" w:line="300"/>
        <w:jc w:val="both"/>
      </w:pPr>
      <w:r>
        <w:rPr>
          <w:rFonts w:ascii="Arial" w:cs="Arial" w:eastAsia="Arial" w:hAnsi="Arial"/>
          <w:sz w:val="22"/>
          <w:szCs w:val="22"/>
        </w:rPr>
        <w:t xml:space="preserve">Gap (b) — combination should recite the technical interaction between elements (e.g., that the Tuppence balance from Claim 2 contributes as an input to the trust score in Claim 4, that the geo-tier from Claim 5 conditions the visibility of cohort members from Claim 6, etc.). These interaction limitations materially strengthen the combination claim.</w:t>
      </w:r>
    </w:p>
    <w:p>
      <w:pPr>
        <w:spacing w:after="120" w:before="0" w:line="300"/>
        <w:jc w:val="both"/>
      </w:pPr>
      <w:r>
        <w:rPr>
          <w:rFonts w:ascii="Arial" w:cs="Arial" w:eastAsia="Arial" w:hAnsi="Arial"/>
          <w:sz w:val="22"/>
          <w:szCs w:val="22"/>
        </w:rPr>
        <w:t xml:space="preserve">Gap (c) — combination claim should be supplemented with at least three dependent claims that recite specific interactions.</w:t>
      </w:r>
    </w:p>
    <w:p>
      <w:pPr>
        <w:pStyle w:val="Heading1"/>
        <w:spacing w:after="180" w:before="360"/>
      </w:pPr>
      <w:r>
        <w:rPr>
          <w:rFonts w:ascii="Arial" w:cs="Arial" w:eastAsia="Arial" w:hAnsi="Arial"/>
          <w:b/>
          <w:bCs/>
          <w:color w:val="1F3864"/>
          <w:sz w:val="32"/>
          <w:szCs w:val="32"/>
        </w:rPr>
        <w:t xml:space="preserve">8.  Proposed Amended Claim Set (Formal Claim Style)</w:t>
      </w:r>
    </w:p>
    <w:p>
      <w:pPr>
        <w:spacing w:after="120" w:before="0" w:line="300"/>
        <w:jc w:val="both"/>
      </w:pPr>
      <w:r>
        <w:rPr>
          <w:rFonts w:ascii="Arial" w:cs="Arial" w:eastAsia="Arial" w:hAnsi="Arial"/>
          <w:sz w:val="22"/>
          <w:szCs w:val="22"/>
        </w:rPr>
        <w:t xml:space="preserve">The following set is the recommended substitute for the seven claims in the IP strategy document. It is drafted to be filed in the SA provisional, then carried through to the PCT specification with such elaboration as the instructed attorney determines on substantive review. References to claim numbers correspond to the current numbering and are unchanged.</w:t>
      </w:r>
    </w:p>
    <w:p>
      <w:pPr>
        <w:pStyle w:val="Heading2"/>
        <w:spacing w:after="140" w:before="280"/>
      </w:pPr>
      <w:r>
        <w:rPr>
          <w:rFonts w:ascii="Arial" w:cs="Arial" w:eastAsia="Arial" w:hAnsi="Arial"/>
          <w:b/>
          <w:bCs/>
          <w:color w:val="1F3864"/>
          <w:sz w:val="26"/>
          <w:szCs w:val="26"/>
        </w:rPr>
        <w:t xml:space="preserve">8.1  Amended Claim 1 (Unified Participation)</w:t>
      </w:r>
    </w:p>
    <w:p>
      <w:pPr>
        <w:spacing w:after="120" w:before="0" w:line="300"/>
        <w:jc w:val="both"/>
      </w:pPr>
      <w:r>
        <w:rPr>
          <w:rFonts w:ascii="Arial" w:cs="Arial" w:eastAsia="Arial" w:hAnsi="Arial"/>
          <w:sz w:val="22"/>
          <w:szCs w:val="22"/>
        </w:rPr>
        <w:t xml:space="preserve">See Section 4.5 above for the full amended Claim 1 text. Four dependent claims to Claim 1 are recommended (also at Section 4.5).</w:t>
      </w:r>
    </w:p>
    <w:p>
      <w:pPr>
        <w:pStyle w:val="Heading2"/>
        <w:spacing w:after="140" w:before="280"/>
      </w:pPr>
      <w:r>
        <w:rPr>
          <w:rFonts w:ascii="Arial" w:cs="Arial" w:eastAsia="Arial" w:hAnsi="Arial"/>
          <w:b/>
          <w:bCs/>
          <w:color w:val="1F3864"/>
          <w:sz w:val="26"/>
          <w:szCs w:val="26"/>
        </w:rPr>
        <w:t xml:space="preserve">8.2  Amended Claim 2 (Tuppence)</w:t>
      </w:r>
    </w:p>
    <w:p>
      <w:pPr>
        <w:spacing w:after="120" w:before="0" w:line="300"/>
        <w:ind w:left="360"/>
        <w:jc w:val="both"/>
      </w:pPr>
      <w:r>
        <w:rPr>
          <w:rFonts w:ascii="Arial" w:cs="Arial" w:eastAsia="Arial" w:hAnsi="Arial"/>
          <w:sz w:val="22"/>
          <w:szCs w:val="22"/>
        </w:rPr>
        <w:t xml:space="preserve">A computer-implemented introduction-gating mechanism for a marketplace platform, comprising:</w:t>
      </w:r>
    </w:p>
    <w:p>
      <w:pPr>
        <w:spacing w:after="120" w:before="0" w:line="300"/>
        <w:ind w:left="720" w:hanging="240"/>
        <w:jc w:val="both"/>
      </w:pPr>
      <w:r>
        <w:rPr>
          <w:rFonts w:ascii="Arial" w:cs="Arial" w:eastAsia="Arial" w:hAnsi="Arial"/>
          <w:sz w:val="22"/>
          <w:szCs w:val="22"/>
        </w:rPr>
        <w:t xml:space="preserve">(a) a credit-balance data store associating, with each user account, a numerical credit balance denominated in non-monetary platform units;</w:t>
      </w:r>
    </w:p>
    <w:p>
      <w:pPr>
        <w:spacing w:after="120" w:before="0" w:line="300"/>
        <w:ind w:left="720" w:hanging="240"/>
        <w:jc w:val="both"/>
      </w:pPr>
      <w:r>
        <w:rPr>
          <w:rFonts w:ascii="Arial" w:cs="Arial" w:eastAsia="Arial" w:hAnsi="Arial"/>
          <w:sz w:val="22"/>
          <w:szCs w:val="22"/>
        </w:rPr>
        <w:t xml:space="preserve">(b) issuance logic configured to credit the said balance solely in response to an authenticated payment by the user associated with the said balance, the said issuance logic recording an issuance transaction in an immutable audit log;</w:t>
      </w:r>
    </w:p>
    <w:p>
      <w:pPr>
        <w:spacing w:after="120" w:before="0" w:line="300"/>
        <w:ind w:left="720" w:hanging="240"/>
        <w:jc w:val="both"/>
      </w:pPr>
      <w:r>
        <w:rPr>
          <w:rFonts w:ascii="Arial" w:cs="Arial" w:eastAsia="Arial" w:hAnsi="Arial"/>
          <w:sz w:val="22"/>
          <w:szCs w:val="22"/>
        </w:rPr>
        <w:t xml:space="preserve">(c) the platform comprising no application-programming-interface endpoint operable to transfer credit between distinct user accounts, such that the said credit balance is, by absence of mechanism, non-transferable;</w:t>
      </w:r>
    </w:p>
    <w:p>
      <w:pPr>
        <w:spacing w:after="120" w:before="0" w:line="300"/>
        <w:ind w:left="720" w:hanging="240"/>
        <w:jc w:val="both"/>
      </w:pPr>
      <w:r>
        <w:rPr>
          <w:rFonts w:ascii="Arial" w:cs="Arial" w:eastAsia="Arial" w:hAnsi="Arial"/>
          <w:sz w:val="22"/>
          <w:szCs w:val="22"/>
        </w:rPr>
        <w:t xml:space="preserve">(d) an introduction-request endpoint configured to, in response to a request from a first user concerning a second user, atomically (i) compute a predetermined decrement amount, (ii) decrement the credit balance of the first user by the said decrement amount, (iii) record an introduction record in a pending state-transition, and (iv) reject the request and reverse any partial state change in the event that the post-decrement balance would be negative; and</w:t>
      </w:r>
    </w:p>
    <w:p>
      <w:pPr>
        <w:spacing w:after="120" w:before="0" w:line="300"/>
        <w:ind w:left="720" w:hanging="240"/>
        <w:jc w:val="both"/>
      </w:pPr>
      <w:r>
        <w:rPr>
          <w:rFonts w:ascii="Arial" w:cs="Arial" w:eastAsia="Arial" w:hAnsi="Arial"/>
          <w:sz w:val="22"/>
          <w:szCs w:val="22"/>
        </w:rPr>
        <w:t xml:space="preserve">(e) restitution logic configured to, in response to an express decline state-transition by the said second user on the said introduction record, atomically (i) credit a determined portion of the said decrement amount back to the credit balance of the first user, (ii) record a restitution transaction in the immutable audit log, and (iii) preserve the introduction record in a declined-and-restituted terminal state.</w:t>
      </w:r>
    </w:p>
    <w:p>
      <w:pPr>
        <w:spacing w:after="120" w:before="100" w:line="300"/>
        <w:jc w:val="both"/>
      </w:pPr>
      <w:r>
        <w:rPr>
          <w:rFonts w:ascii="Arial" w:cs="Arial" w:eastAsia="Arial" w:hAnsi="Arial"/>
          <w:b/>
          <w:bCs/>
          <w:sz w:val="22"/>
          <w:szCs w:val="22"/>
        </w:rPr>
        <w:t xml:space="preserve">Suggested dependent claims:</w:t>
      </w:r>
    </w:p>
    <w:p>
      <w:pPr>
        <w:pStyle w:val="ListParagraph"/>
        <w:numPr>
          <w:ilvl w:val="0"/>
          <w:numId w:val="2"/>
        </w:numPr>
        <w:spacing w:after="80" w:line="280"/>
      </w:pPr>
      <w:r>
        <w:rPr>
          <w:rFonts w:ascii="Arial" w:cs="Arial" w:eastAsia="Arial" w:hAnsi="Arial"/>
          <w:sz w:val="22"/>
          <w:szCs w:val="22"/>
        </w:rPr>
        <w:t xml:space="preserve">Where the predetermined decrement amount is a function of an attribute of the said second user or the said introduction's subject listing.</w:t>
      </w:r>
    </w:p>
    <w:p>
      <w:pPr>
        <w:pStyle w:val="ListParagraph"/>
        <w:numPr>
          <w:ilvl w:val="0"/>
          <w:numId w:val="2"/>
        </w:numPr>
        <w:spacing w:after="80" w:line="280"/>
      </w:pPr>
      <w:r>
        <w:rPr>
          <w:rFonts w:ascii="Arial" w:cs="Arial" w:eastAsia="Arial" w:hAnsi="Arial"/>
          <w:sz w:val="22"/>
          <w:szCs w:val="22"/>
        </w:rPr>
        <w:t xml:space="preserve">Where the restituted portion is a fixed fraction of the said decrement amount.</w:t>
      </w:r>
    </w:p>
    <w:p>
      <w:pPr>
        <w:pStyle w:val="ListParagraph"/>
        <w:numPr>
          <w:ilvl w:val="0"/>
          <w:numId w:val="2"/>
        </w:numPr>
        <w:spacing w:after="80" w:line="280"/>
      </w:pPr>
      <w:r>
        <w:rPr>
          <w:rFonts w:ascii="Arial" w:cs="Arial" w:eastAsia="Arial" w:hAnsi="Arial"/>
          <w:sz w:val="22"/>
          <w:szCs w:val="22"/>
        </w:rPr>
        <w:t xml:space="preserve">Where the credit balance of each user account is an input to a reputation-scoring algorithm operating on counterparty user accounts of that user account.</w:t>
      </w:r>
    </w:p>
    <w:p>
      <w:pPr>
        <w:pStyle w:val="ListParagraph"/>
        <w:numPr>
          <w:ilvl w:val="0"/>
          <w:numId w:val="2"/>
        </w:numPr>
        <w:spacing w:after="80" w:line="280"/>
      </w:pPr>
      <w:r>
        <w:rPr>
          <w:rFonts w:ascii="Arial" w:cs="Arial" w:eastAsia="Arial" w:hAnsi="Arial"/>
          <w:sz w:val="22"/>
          <w:szCs w:val="22"/>
        </w:rPr>
        <w:t xml:space="preserve">Where issuance occurs only in respect of payments denominated in fiat currency, and no exchange-rate mechanism between fiat currency and the said non-monetary platform units is exposed to the user.</w:t>
      </w:r>
    </w:p>
    <w:p>
      <w:pPr>
        <w:pStyle w:val="Heading2"/>
        <w:spacing w:after="140" w:before="280"/>
      </w:pPr>
      <w:r>
        <w:rPr>
          <w:rFonts w:ascii="Arial" w:cs="Arial" w:eastAsia="Arial" w:hAnsi="Arial"/>
          <w:b/>
          <w:bCs/>
          <w:color w:val="1F3864"/>
          <w:sz w:val="26"/>
          <w:szCs w:val="26"/>
        </w:rPr>
        <w:t xml:space="preserve">8.3  Amended Claim 3 (Anonymous Introduction Protocol)</w:t>
      </w:r>
    </w:p>
    <w:p>
      <w:pPr>
        <w:spacing w:after="120" w:before="0" w:line="300"/>
        <w:ind w:left="360"/>
        <w:jc w:val="both"/>
      </w:pPr>
      <w:r>
        <w:rPr>
          <w:rFonts w:ascii="Arial" w:cs="Arial" w:eastAsia="Arial" w:hAnsi="Arial"/>
          <w:sz w:val="22"/>
          <w:szCs w:val="22"/>
        </w:rPr>
        <w:t xml:space="preserve">A computer-implemented method for mutually-anonymised participant connection in a marketplace platform, comprising:</w:t>
      </w:r>
    </w:p>
    <w:p>
      <w:pPr>
        <w:spacing w:after="120" w:before="0" w:line="300"/>
        <w:ind w:left="720" w:hanging="240"/>
        <w:jc w:val="both"/>
      </w:pPr>
      <w:r>
        <w:rPr>
          <w:rFonts w:ascii="Arial" w:cs="Arial" w:eastAsia="Arial" w:hAnsi="Arial"/>
          <w:sz w:val="22"/>
          <w:szCs w:val="22"/>
        </w:rPr>
        <w:t xml:space="preserve">(a) maintaining, for each user account, a personal-data field set partitioned into a public subset and a private subset, the said private subset comprising at least each of: email address, telephone number, and surname;</w:t>
      </w:r>
    </w:p>
    <w:p>
      <w:pPr>
        <w:spacing w:after="120" w:before="0" w:line="300"/>
        <w:ind w:left="720" w:hanging="240"/>
        <w:jc w:val="both"/>
      </w:pPr>
      <w:r>
        <w:rPr>
          <w:rFonts w:ascii="Arial" w:cs="Arial" w:eastAsia="Arial" w:hAnsi="Arial"/>
          <w:sz w:val="22"/>
          <w:szCs w:val="22"/>
        </w:rPr>
        <w:t xml:space="preserve">(b) on receipt of an introduction request from a first user concerning a second user, transmitting to the said second user a notification containing only the public subset of the first user's data and no field of the private subset;</w:t>
      </w:r>
    </w:p>
    <w:p>
      <w:pPr>
        <w:spacing w:after="120" w:before="0" w:line="300"/>
        <w:ind w:left="720" w:hanging="240"/>
        <w:jc w:val="both"/>
      </w:pPr>
      <w:r>
        <w:rPr>
          <w:rFonts w:ascii="Arial" w:cs="Arial" w:eastAsia="Arial" w:hAnsi="Arial"/>
          <w:sz w:val="22"/>
          <w:szCs w:val="22"/>
        </w:rPr>
        <w:t xml:space="preserve">(c) on receipt of an affirmative-consent response from the said second user in respect of the said introduction request, atomically (i) transitioning the introduction record to an accepted terminal state, and (ii) issuing simultaneous disclosure events to each of the first and second users, each said disclosure event containing the private subset fields of the counterparty user;</w:t>
      </w:r>
    </w:p>
    <w:p>
      <w:pPr>
        <w:spacing w:after="120" w:before="0" w:line="300"/>
        <w:ind w:left="720" w:hanging="240"/>
        <w:jc w:val="both"/>
      </w:pPr>
      <w:r>
        <w:rPr>
          <w:rFonts w:ascii="Arial" w:cs="Arial" w:eastAsia="Arial" w:hAnsi="Arial"/>
          <w:sz w:val="22"/>
          <w:szCs w:val="22"/>
        </w:rPr>
        <w:t xml:space="preserve">(d) ensuring that no private-subset field of either user is transmitted to the other user prior to step (c); and</w:t>
      </w:r>
    </w:p>
    <w:p>
      <w:pPr>
        <w:spacing w:after="120" w:before="0" w:line="300"/>
        <w:ind w:left="720" w:hanging="240"/>
        <w:jc w:val="both"/>
      </w:pPr>
      <w:r>
        <w:rPr>
          <w:rFonts w:ascii="Arial" w:cs="Arial" w:eastAsia="Arial" w:hAnsi="Arial"/>
          <w:sz w:val="22"/>
          <w:szCs w:val="22"/>
        </w:rPr>
        <w:t xml:space="preserve">(e) on receipt of a decline response from the said second user, atomically (i) transitioning the introduction record to a declined terminal state, and (ii) transmitting no private-subset field of either user to the other user.</w:t>
      </w:r>
    </w:p>
    <w:p>
      <w:pPr>
        <w:spacing w:after="120" w:before="100" w:line="300"/>
        <w:jc w:val="both"/>
      </w:pPr>
      <w:r>
        <w:rPr>
          <w:rFonts w:ascii="Arial" w:cs="Arial" w:eastAsia="Arial" w:hAnsi="Arial"/>
          <w:b/>
          <w:bCs/>
          <w:sz w:val="22"/>
          <w:szCs w:val="22"/>
        </w:rPr>
        <w:t xml:space="preserve">Suggested dependent claims:</w:t>
      </w:r>
    </w:p>
    <w:p>
      <w:pPr>
        <w:pStyle w:val="ListParagraph"/>
        <w:numPr>
          <w:ilvl w:val="0"/>
          <w:numId w:val="2"/>
        </w:numPr>
        <w:spacing w:after="80" w:line="280"/>
      </w:pPr>
      <w:r>
        <w:rPr>
          <w:rFonts w:ascii="Arial" w:cs="Arial" w:eastAsia="Arial" w:hAnsi="Arial"/>
          <w:sz w:val="22"/>
          <w:szCs w:val="22"/>
        </w:rPr>
        <w:t xml:space="preserve">Where step (c) is implemented as a single database transaction, such that no temporal asymmetry exceeding a determined epsilon may exist between the two disclosure events.</w:t>
      </w:r>
    </w:p>
    <w:p>
      <w:pPr>
        <w:pStyle w:val="ListParagraph"/>
        <w:numPr>
          <w:ilvl w:val="0"/>
          <w:numId w:val="2"/>
        </w:numPr>
        <w:spacing w:after="80" w:line="280"/>
      </w:pPr>
      <w:r>
        <w:rPr>
          <w:rFonts w:ascii="Arial" w:cs="Arial" w:eastAsia="Arial" w:hAnsi="Arial"/>
          <w:sz w:val="22"/>
          <w:szCs w:val="22"/>
        </w:rPr>
        <w:t xml:space="preserve">Where, before step (c), the first user is permitted to amend or withdraw the introduction request, with such amendment or withdrawal causing the deletion of all data previously transmitted to the second user under step (b).</w:t>
      </w:r>
    </w:p>
    <w:p>
      <w:pPr>
        <w:pStyle w:val="Heading2"/>
        <w:spacing w:after="140" w:before="280"/>
      </w:pPr>
      <w:r>
        <w:rPr>
          <w:rFonts w:ascii="Arial" w:cs="Arial" w:eastAsia="Arial" w:hAnsi="Arial"/>
          <w:b/>
          <w:bCs/>
          <w:color w:val="1F3864"/>
          <w:sz w:val="26"/>
          <w:szCs w:val="26"/>
        </w:rPr>
        <w:t xml:space="preserve">8.4  Amended Claim 4 (Trust Score) — narrowed and tamper-resistant</w:t>
      </w:r>
    </w:p>
    <w:p>
      <w:pPr>
        <w:spacing w:after="120" w:before="0" w:line="300"/>
        <w:ind w:left="360"/>
        <w:jc w:val="both"/>
      </w:pPr>
      <w:r>
        <w:rPr>
          <w:rFonts w:ascii="Arial" w:cs="Arial" w:eastAsia="Arial" w:hAnsi="Arial"/>
          <w:sz w:val="22"/>
          <w:szCs w:val="22"/>
        </w:rPr>
        <w:t xml:space="preserve">A reputation-scoring engine for a marketplace platform, comprising:</w:t>
      </w:r>
    </w:p>
    <w:p>
      <w:pPr>
        <w:spacing w:after="120" w:before="0" w:line="300"/>
        <w:ind w:left="720" w:hanging="240"/>
        <w:jc w:val="both"/>
      </w:pPr>
      <w:r>
        <w:rPr>
          <w:rFonts w:ascii="Arial" w:cs="Arial" w:eastAsia="Arial" w:hAnsi="Arial"/>
          <w:sz w:val="22"/>
          <w:szCs w:val="22"/>
        </w:rPr>
        <w:t xml:space="preserve">(a) an input-signal collector configured to receive solely server-observable signals, the said signals selected from: count of completed introduction transactions associated with a scored user, ratio of accepted introduction requests to received introduction requests, latency between receipt of an introduction request and the said scored user's first response, age of the scored user's account, and credential-verification status from a designated third-party verification service;</w:t>
      </w:r>
    </w:p>
    <w:p>
      <w:pPr>
        <w:spacing w:after="120" w:before="0" w:line="300"/>
        <w:ind w:left="720" w:hanging="240"/>
        <w:jc w:val="both"/>
      </w:pPr>
      <w:r>
        <w:rPr>
          <w:rFonts w:ascii="Arial" w:cs="Arial" w:eastAsia="Arial" w:hAnsi="Arial"/>
          <w:sz w:val="22"/>
          <w:szCs w:val="22"/>
        </w:rPr>
        <w:t xml:space="preserve">(b) the said input-signal collector being configured not to accept any input derived from a self-reported claim by the scored user;</w:t>
      </w:r>
    </w:p>
    <w:p>
      <w:pPr>
        <w:spacing w:after="120" w:before="0" w:line="300"/>
        <w:ind w:left="720" w:hanging="240"/>
        <w:jc w:val="both"/>
      </w:pPr>
      <w:r>
        <w:rPr>
          <w:rFonts w:ascii="Arial" w:cs="Arial" w:eastAsia="Arial" w:hAnsi="Arial"/>
          <w:sz w:val="22"/>
          <w:szCs w:val="22"/>
        </w:rPr>
        <w:t xml:space="preserve">(c) a weighted-sum scoring function configured to compute a bounded numerical reputation value from the said signals;</w:t>
      </w:r>
    </w:p>
    <w:p>
      <w:pPr>
        <w:spacing w:after="120" w:before="0" w:line="300"/>
        <w:ind w:left="720" w:hanging="240"/>
        <w:jc w:val="both"/>
      </w:pPr>
      <w:r>
        <w:rPr>
          <w:rFonts w:ascii="Arial" w:cs="Arial" w:eastAsia="Arial" w:hAnsi="Arial"/>
          <w:sz w:val="22"/>
          <w:szCs w:val="22"/>
        </w:rPr>
        <w:t xml:space="preserve">(d) a tamper-prevention subsystem comprising (i) a write-only audit log of each input-signal event, (ii) cryptographic binding of each input-signal event to a server-side timestamp, and (iii) architectural prohibition on any user-originated mutation of the reputation value or its constituent signals; and</w:t>
      </w:r>
    </w:p>
    <w:p>
      <w:pPr>
        <w:spacing w:after="120" w:before="0" w:line="300"/>
        <w:ind w:left="720" w:hanging="240"/>
        <w:jc w:val="both"/>
      </w:pPr>
      <w:r>
        <w:rPr>
          <w:rFonts w:ascii="Arial" w:cs="Arial" w:eastAsia="Arial" w:hAnsi="Arial"/>
          <w:sz w:val="22"/>
          <w:szCs w:val="22"/>
        </w:rPr>
        <w:t xml:space="preserve">(e) recomputation logic configured to deterministically recompute the reputation value on each input-signal event, such that the reputation value at any time is reproducible from the audit log and cannot diverge from the deterministic value through any user action.</w:t>
      </w:r>
    </w:p>
    <w:p>
      <w:pPr>
        <w:spacing w:after="120" w:before="100" w:line="300"/>
        <w:jc w:val="both"/>
      </w:pPr>
      <w:r>
        <w:rPr>
          <w:rFonts w:ascii="Arial" w:cs="Arial" w:eastAsia="Arial" w:hAnsi="Arial"/>
          <w:b/>
          <w:bCs/>
          <w:sz w:val="22"/>
          <w:szCs w:val="22"/>
        </w:rPr>
        <w:t xml:space="preserve">Suggested dependent claims:</w:t>
      </w:r>
    </w:p>
    <w:p>
      <w:pPr>
        <w:pStyle w:val="ListParagraph"/>
        <w:numPr>
          <w:ilvl w:val="0"/>
          <w:numId w:val="2"/>
        </w:numPr>
        <w:spacing w:after="80" w:line="280"/>
      </w:pPr>
      <w:r>
        <w:rPr>
          <w:rFonts w:ascii="Arial" w:cs="Arial" w:eastAsia="Arial" w:hAnsi="Arial"/>
          <w:sz w:val="22"/>
          <w:szCs w:val="22"/>
        </w:rPr>
        <w:t xml:space="preserve">Where the designated third-party verification service comprises a government-issued identity document verification provider.</w:t>
      </w:r>
    </w:p>
    <w:p>
      <w:pPr>
        <w:pStyle w:val="ListParagraph"/>
        <w:numPr>
          <w:ilvl w:val="0"/>
          <w:numId w:val="2"/>
        </w:numPr>
        <w:spacing w:after="80" w:line="280"/>
      </w:pPr>
      <w:r>
        <w:rPr>
          <w:rFonts w:ascii="Arial" w:cs="Arial" w:eastAsia="Arial" w:hAnsi="Arial"/>
          <w:sz w:val="22"/>
          <w:szCs w:val="22"/>
        </w:rPr>
        <w:t xml:space="preserve">Where the bounded numerical reputation value gates participation of the scored user in one or more subscription tiers.</w:t>
      </w:r>
    </w:p>
    <w:p>
      <w:pPr>
        <w:pStyle w:val="ListParagraph"/>
        <w:numPr>
          <w:ilvl w:val="0"/>
          <w:numId w:val="2"/>
        </w:numPr>
        <w:spacing w:after="80" w:line="280"/>
      </w:pPr>
      <w:r>
        <w:rPr>
          <w:rFonts w:ascii="Arial" w:cs="Arial" w:eastAsia="Arial" w:hAnsi="Arial"/>
          <w:sz w:val="22"/>
          <w:szCs w:val="22"/>
        </w:rPr>
        <w:t xml:space="preserve">Where the weighted-sum scoring function has fixed weights selected from a predetermined set, the said set being recorded in a versioned configuration record in the platform's deployment manifest.</w:t>
      </w:r>
    </w:p>
    <w:p>
      <w:pPr>
        <w:pStyle w:val="Heading2"/>
        <w:spacing w:after="140" w:before="280"/>
      </w:pPr>
      <w:r>
        <w:rPr>
          <w:rFonts w:ascii="Arial" w:cs="Arial" w:eastAsia="Arial" w:hAnsi="Arial"/>
          <w:b/>
          <w:bCs/>
          <w:color w:val="1F3864"/>
          <w:sz w:val="26"/>
          <w:szCs w:val="26"/>
        </w:rPr>
        <w:t xml:space="preserve">8.5  Amended Claim 5 (Geo-Hierarchical Visibility)</w:t>
      </w:r>
    </w:p>
    <w:p>
      <w:pPr>
        <w:spacing w:after="120" w:before="0" w:line="300"/>
        <w:ind w:left="360"/>
        <w:jc w:val="both"/>
      </w:pPr>
      <w:r>
        <w:rPr>
          <w:rFonts w:ascii="Arial" w:cs="Arial" w:eastAsia="Arial" w:hAnsi="Arial"/>
          <w:sz w:val="22"/>
          <w:szCs w:val="22"/>
        </w:rPr>
        <w:t xml:space="preserve">A geographically-scoped query system for a marketplace platform, comprising:</w:t>
      </w:r>
    </w:p>
    <w:p>
      <w:pPr>
        <w:spacing w:after="120" w:before="0" w:line="300"/>
        <w:ind w:left="720" w:hanging="240"/>
        <w:jc w:val="both"/>
      </w:pPr>
      <w:r>
        <w:rPr>
          <w:rFonts w:ascii="Arial" w:cs="Arial" w:eastAsia="Arial" w:hAnsi="Arial"/>
          <w:sz w:val="22"/>
          <w:szCs w:val="22"/>
        </w:rPr>
        <w:t xml:space="preserve">(a) a normalised geographic data store comprising at least four distinct relations representing four hierarchical levels of geography, the said levels being country, region, city, and sub-locality, each level above sub-locality being parent to its respective level below by a foreign-key reference;</w:t>
      </w:r>
    </w:p>
    <w:p>
      <w:pPr>
        <w:spacing w:after="120" w:before="0" w:line="300"/>
        <w:ind w:left="720" w:hanging="240"/>
        <w:jc w:val="both"/>
      </w:pPr>
      <w:r>
        <w:rPr>
          <w:rFonts w:ascii="Arial" w:cs="Arial" w:eastAsia="Arial" w:hAnsi="Arial"/>
          <w:sz w:val="22"/>
          <w:szCs w:val="22"/>
        </w:rPr>
        <w:t xml:space="preserve">(b) a listing data store wherein each listing record is associated, via foreign-key references, with exactly one record at the sub-locality level, the said association implying via referential closure an ancestry up to the country level;</w:t>
      </w:r>
    </w:p>
    <w:p>
      <w:pPr>
        <w:spacing w:after="120" w:before="0" w:line="300"/>
        <w:ind w:left="720" w:hanging="240"/>
        <w:jc w:val="both"/>
      </w:pPr>
      <w:r>
        <w:rPr>
          <w:rFonts w:ascii="Arial" w:cs="Arial" w:eastAsia="Arial" w:hAnsi="Arial"/>
          <w:sz w:val="22"/>
          <w:szCs w:val="22"/>
        </w:rPr>
        <w:t xml:space="preserve">(c) a query-rewriting middleware operating at the data-access layer and configured to, on each search query: (i) determine the searching user's authorisation tier from a tier-record store, (ii) compute a maximum-allowed geographic visibility level for the said tier as a function of a determined tier-to-level mapping, and (iii) rewrite the said query to restrict candidate listings to those whose ancestry chain intersects the searching user's declared location no higher than the said maximum-allowed level; and</w:t>
      </w:r>
    </w:p>
    <w:p>
      <w:pPr>
        <w:spacing w:after="120" w:before="0" w:line="300"/>
        <w:ind w:left="720" w:hanging="240"/>
        <w:jc w:val="both"/>
      </w:pPr>
      <w:r>
        <w:rPr>
          <w:rFonts w:ascii="Arial" w:cs="Arial" w:eastAsia="Arial" w:hAnsi="Arial"/>
          <w:sz w:val="22"/>
          <w:szCs w:val="22"/>
        </w:rPr>
        <w:t xml:space="preserve">(d) referential integrity constraints enforced at write time, ensuring that no listing record can be created or modified to refer to an undefined sub-locality or to a sub-locality whose ancestry chain is incomplete.</w:t>
      </w:r>
    </w:p>
    <w:p>
      <w:pPr>
        <w:spacing w:after="120" w:before="100" w:line="300"/>
        <w:jc w:val="both"/>
      </w:pPr>
      <w:r>
        <w:rPr>
          <w:rFonts w:ascii="Arial" w:cs="Arial" w:eastAsia="Arial" w:hAnsi="Arial"/>
          <w:b/>
          <w:bCs/>
          <w:sz w:val="22"/>
          <w:szCs w:val="22"/>
        </w:rPr>
        <w:t xml:space="preserve">Suggested dependent claims:</w:t>
      </w:r>
    </w:p>
    <w:p>
      <w:pPr>
        <w:pStyle w:val="ListParagraph"/>
        <w:numPr>
          <w:ilvl w:val="0"/>
          <w:numId w:val="2"/>
        </w:numPr>
        <w:spacing w:after="80" w:line="280"/>
      </w:pPr>
      <w:r>
        <w:rPr>
          <w:rFonts w:ascii="Arial" w:cs="Arial" w:eastAsia="Arial" w:hAnsi="Arial"/>
          <w:sz w:val="22"/>
          <w:szCs w:val="22"/>
        </w:rPr>
        <w:t xml:space="preserve">Where the query-rewriting middleware is implemented as a database view, materialised view, or row-level security policy of the underlying relational data store.</w:t>
      </w:r>
    </w:p>
    <w:p>
      <w:pPr>
        <w:pStyle w:val="ListParagraph"/>
        <w:numPr>
          <w:ilvl w:val="0"/>
          <w:numId w:val="2"/>
        </w:numPr>
        <w:spacing w:after="80" w:line="280"/>
      </w:pPr>
      <w:r>
        <w:rPr>
          <w:rFonts w:ascii="Arial" w:cs="Arial" w:eastAsia="Arial" w:hAnsi="Arial"/>
          <w:sz w:val="22"/>
          <w:szCs w:val="22"/>
        </w:rPr>
        <w:t xml:space="preserve">Where the determined tier-to-level mapping is country-for-premium-tier, country and region for an intermediate tier, country, region and city for an entry tier, and country, region, city and sub-locality for a free tier.</w:t>
      </w:r>
    </w:p>
    <w:p>
      <w:pPr>
        <w:pStyle w:val="Heading2"/>
        <w:spacing w:after="140" w:before="280"/>
      </w:pPr>
      <w:r>
        <w:rPr>
          <w:rFonts w:ascii="Arial" w:cs="Arial" w:eastAsia="Arial" w:hAnsi="Arial"/>
          <w:b/>
          <w:bCs/>
          <w:color w:val="1F3864"/>
          <w:sz w:val="26"/>
          <w:szCs w:val="26"/>
        </w:rPr>
        <w:t xml:space="preserve">8.6  Amended Claim 6 (Founding Cohort) — reframed as cold-start ranking augmentation</w:t>
      </w:r>
    </w:p>
    <w:p>
      <w:pPr>
        <w:spacing w:after="120" w:before="0" w:line="300"/>
        <w:jc w:val="both"/>
      </w:pPr>
      <w:r>
        <w:rPr>
          <w:rFonts w:ascii="Arial" w:cs="Arial" w:eastAsia="Arial" w:hAnsi="Arial"/>
          <w:i/>
          <w:iCs/>
          <w:sz w:val="22"/>
          <w:szCs w:val="22"/>
        </w:rPr>
        <w:t xml:space="preserve">If retained as an independent claim (the alternative being demotion to a dependent claim under Claim 5 or Claim 7), the following redraft is proposed:</w:t>
      </w:r>
    </w:p>
    <w:p>
      <w:pPr>
        <w:spacing w:after="120" w:before="0" w:line="300"/>
        <w:ind w:left="360"/>
        <w:jc w:val="both"/>
      </w:pPr>
      <w:r>
        <w:rPr>
          <w:rFonts w:ascii="Arial" w:cs="Arial" w:eastAsia="Arial" w:hAnsi="Arial"/>
          <w:sz w:val="22"/>
          <w:szCs w:val="22"/>
        </w:rPr>
        <w:t xml:space="preserve">A cold-start ranking augmentation for a marketplace search engine, comprising:</w:t>
      </w:r>
    </w:p>
    <w:p>
      <w:pPr>
        <w:spacing w:after="120" w:before="0" w:line="300"/>
        <w:ind w:left="720" w:hanging="240"/>
        <w:jc w:val="both"/>
      </w:pPr>
      <w:r>
        <w:rPr>
          <w:rFonts w:ascii="Arial" w:cs="Arial" w:eastAsia="Arial" w:hAnsi="Arial"/>
          <w:sz w:val="22"/>
          <w:szCs w:val="22"/>
        </w:rPr>
        <w:t xml:space="preserve">(a) a static cohort-membership attribute persisted on a defined subset of listing records, the said attribute being immutable after initial recording;</w:t>
      </w:r>
    </w:p>
    <w:p>
      <w:pPr>
        <w:spacing w:after="120" w:before="0" w:line="300"/>
        <w:ind w:left="720" w:hanging="240"/>
        <w:jc w:val="both"/>
      </w:pPr>
      <w:r>
        <w:rPr>
          <w:rFonts w:ascii="Arial" w:cs="Arial" w:eastAsia="Arial" w:hAnsi="Arial"/>
          <w:sz w:val="22"/>
          <w:szCs w:val="22"/>
        </w:rPr>
        <w:t xml:space="preserve">(b) a ranking function configured to apply, at query execution time, a tiebreaker boost of a bounded magnitude to records bearing the said cohort-membership attribute, the said bounded magnitude being insufficient to override an organic relevance signal that exceeds a determined threshold;</w:t>
      </w:r>
    </w:p>
    <w:p>
      <w:pPr>
        <w:spacing w:after="120" w:before="0" w:line="300"/>
        <w:ind w:left="720" w:hanging="240"/>
        <w:jc w:val="both"/>
      </w:pPr>
      <w:r>
        <w:rPr>
          <w:rFonts w:ascii="Arial" w:cs="Arial" w:eastAsia="Arial" w:hAnsi="Arial"/>
          <w:sz w:val="22"/>
          <w:szCs w:val="22"/>
        </w:rPr>
        <w:t xml:space="preserve">(c) wherein the set of records bearing the cohort-membership attribute has a fixed cardinality determined per geographic region, the said fixed cardinality being enforced by a database-level integrity constraint such that any attempt to record the cohort-membership attribute on a listing record after the cardinality limit is reached is rejected at the data-access layer; and</w:t>
      </w:r>
    </w:p>
    <w:p>
      <w:pPr>
        <w:spacing w:after="120" w:before="0" w:line="300"/>
        <w:ind w:left="720" w:hanging="240"/>
        <w:jc w:val="both"/>
      </w:pPr>
      <w:r>
        <w:rPr>
          <w:rFonts w:ascii="Arial" w:cs="Arial" w:eastAsia="Arial" w:hAnsi="Arial"/>
          <w:sz w:val="22"/>
          <w:szCs w:val="22"/>
        </w:rPr>
        <w:t xml:space="preserve">(d) a recording audit log that captures each instance of the cohort-membership attribute being recorded, including a server-side timestamp.</w:t>
      </w:r>
    </w:p>
    <w:p>
      <w:pPr>
        <w:spacing w:after="120" w:before="100" w:line="300"/>
        <w:jc w:val="both"/>
      </w:pPr>
      <w:r>
        <w:rPr>
          <w:rFonts w:ascii="Arial" w:cs="Arial" w:eastAsia="Arial" w:hAnsi="Arial"/>
          <w:b/>
          <w:bCs/>
          <w:sz w:val="22"/>
          <w:szCs w:val="22"/>
        </w:rPr>
        <w:t xml:space="preserve">Note:</w:t>
      </w:r>
    </w:p>
    <w:p>
      <w:pPr>
        <w:spacing w:after="120" w:before="0" w:line="300"/>
        <w:jc w:val="both"/>
      </w:pPr>
      <w:r>
        <w:rPr>
          <w:rFonts w:ascii="Arial" w:cs="Arial" w:eastAsia="Arial" w:hAnsi="Arial"/>
          <w:sz w:val="22"/>
          <w:szCs w:val="22"/>
        </w:rPr>
        <w:t xml:space="preserve">Even with this redraft, Claim 6 carries the highest individual section 25(2) risk in the claim set. The instructed firm may elect to file the redrafted Claim 6 in the SA provisional (where it costs nothing extra, given CIPC's depository function) and to allow the EPO ISR / Written Opinion to determine whether the claim survives into the PCT specification. If the ISR is adverse, the claim should be dropped before national-phase entry.</w:t>
      </w:r>
    </w:p>
    <w:p>
      <w:pPr>
        <w:pStyle w:val="Heading2"/>
        <w:spacing w:after="140" w:before="280"/>
      </w:pPr>
      <w:r>
        <w:rPr>
          <w:rFonts w:ascii="Arial" w:cs="Arial" w:eastAsia="Arial" w:hAnsi="Arial"/>
          <w:b/>
          <w:bCs/>
          <w:color w:val="1F3864"/>
          <w:sz w:val="26"/>
          <w:szCs w:val="26"/>
        </w:rPr>
        <w:t xml:space="preserve">8.7  Amended Claim 7 (Combination)</w:t>
      </w:r>
    </w:p>
    <w:p>
      <w:pPr>
        <w:spacing w:after="120" w:before="0" w:line="300"/>
        <w:ind w:left="360"/>
        <w:jc w:val="both"/>
      </w:pPr>
      <w:r>
        <w:rPr>
          <w:rFonts w:ascii="Arial" w:cs="Arial" w:eastAsia="Arial" w:hAnsi="Arial"/>
          <w:sz w:val="22"/>
          <w:szCs w:val="22"/>
        </w:rPr>
        <w:t xml:space="preserve">An integrated marketplace platform comprising the unified participation model of claim 1, the introduction-gating mechanism of claim 2, the anonymous introduction protocol of claim 3, the reputation-scoring engine of claim 4, the geographically-scoped query system of claim 5, and the cold-start ranking augmentation of claim 6, wherein:</w:t>
      </w:r>
    </w:p>
    <w:p>
      <w:pPr>
        <w:spacing w:after="120" w:before="0" w:line="300"/>
        <w:ind w:left="720" w:hanging="240"/>
        <w:jc w:val="both"/>
      </w:pPr>
      <w:r>
        <w:rPr>
          <w:rFonts w:ascii="Arial" w:cs="Arial" w:eastAsia="Arial" w:hAnsi="Arial"/>
          <w:sz w:val="22"/>
          <w:szCs w:val="22"/>
        </w:rPr>
        <w:t xml:space="preserve">(a) the credit balance maintained by the introduction-gating mechanism of claim 2 contributes as a non-self-reported input signal to the reputation-scoring engine of claim 4;</w:t>
      </w:r>
    </w:p>
    <w:p>
      <w:pPr>
        <w:spacing w:after="120" w:before="0" w:line="300"/>
        <w:ind w:left="720" w:hanging="240"/>
        <w:jc w:val="both"/>
      </w:pPr>
      <w:r>
        <w:rPr>
          <w:rFonts w:ascii="Arial" w:cs="Arial" w:eastAsia="Arial" w:hAnsi="Arial"/>
          <w:sz w:val="22"/>
          <w:szCs w:val="22"/>
        </w:rPr>
        <w:t xml:space="preserve">(b) the bounded numerical reputation value produced by claim 4 contributes as an organic relevance signal to the ranking function of claim 6;</w:t>
      </w:r>
    </w:p>
    <w:p>
      <w:pPr>
        <w:spacing w:after="120" w:before="0" w:line="300"/>
        <w:ind w:left="720" w:hanging="240"/>
        <w:jc w:val="both"/>
      </w:pPr>
      <w:r>
        <w:rPr>
          <w:rFonts w:ascii="Arial" w:cs="Arial" w:eastAsia="Arial" w:hAnsi="Arial"/>
          <w:sz w:val="22"/>
          <w:szCs w:val="22"/>
        </w:rPr>
        <w:t xml:space="preserve">(c) the introduction records of claim 2 are the data on which the runtime authorisation engine of claim 1 computes the role-state set, such that no separate role-management subsystem is required; and</w:t>
      </w:r>
    </w:p>
    <w:p>
      <w:pPr>
        <w:spacing w:after="120" w:before="0" w:line="300"/>
        <w:ind w:left="720" w:hanging="240"/>
        <w:jc w:val="both"/>
      </w:pPr>
      <w:r>
        <w:rPr>
          <w:rFonts w:ascii="Arial" w:cs="Arial" w:eastAsia="Arial" w:hAnsi="Arial"/>
          <w:sz w:val="22"/>
          <w:szCs w:val="22"/>
        </w:rPr>
        <w:t xml:space="preserve">(d) the geographic ancestry chain of claim 5 conditions the visibility of cohort members under claim 6, such that cohort-tiebreaker effects are limited to listings whose ancestry chain admits the searching user's location.</w:t>
      </w:r>
    </w:p>
    <w:p>
      <w:pPr>
        <w:spacing w:after="120" w:before="100" w:line="300"/>
        <w:jc w:val="both"/>
      </w:pPr>
      <w:r>
        <w:rPr>
          <w:rFonts w:ascii="Arial" w:cs="Arial" w:eastAsia="Arial" w:hAnsi="Arial"/>
          <w:b/>
          <w:bCs/>
          <w:sz w:val="22"/>
          <w:szCs w:val="22"/>
        </w:rPr>
        <w:t xml:space="preserve">Suggested dependent claims:</w:t>
      </w:r>
    </w:p>
    <w:p>
      <w:pPr>
        <w:pStyle w:val="ListParagraph"/>
        <w:numPr>
          <w:ilvl w:val="0"/>
          <w:numId w:val="2"/>
        </w:numPr>
        <w:spacing w:after="80" w:line="280"/>
      </w:pPr>
      <w:r>
        <w:rPr>
          <w:rFonts w:ascii="Arial" w:cs="Arial" w:eastAsia="Arial" w:hAnsi="Arial"/>
          <w:sz w:val="22"/>
          <w:szCs w:val="22"/>
        </w:rPr>
        <w:t xml:space="preserve">Where all data stores recited in claims 1 to 6 are accessed via a single backend application instance, such that the platform is operable as a single deployable unit.</w:t>
      </w:r>
    </w:p>
    <w:p>
      <w:pPr>
        <w:pStyle w:val="ListParagraph"/>
        <w:numPr>
          <w:ilvl w:val="0"/>
          <w:numId w:val="2"/>
        </w:numPr>
        <w:spacing w:after="80" w:line="280"/>
      </w:pPr>
      <w:r>
        <w:rPr>
          <w:rFonts w:ascii="Arial" w:cs="Arial" w:eastAsia="Arial" w:hAnsi="Arial"/>
          <w:sz w:val="22"/>
          <w:szCs w:val="22"/>
        </w:rPr>
        <w:t xml:space="preserve">Where the platform is operable from any jurisdiction in which the said single deployable unit may be hosted, without recompilation or schema modification.</w:t>
      </w:r>
    </w:p>
    <w:p>
      <w:pPr>
        <w:pStyle w:val="Heading1"/>
        <w:spacing w:after="180" w:before="360"/>
      </w:pPr>
      <w:r>
        <w:rPr>
          <w:rFonts w:ascii="Arial" w:cs="Arial" w:eastAsia="Arial" w:hAnsi="Arial"/>
          <w:b/>
          <w:bCs/>
          <w:color w:val="1F3864"/>
          <w:sz w:val="32"/>
          <w:szCs w:val="32"/>
        </w:rPr>
        <w:t xml:space="preserve">9.  EULA Cross-Reference</w:t>
      </w:r>
    </w:p>
    <w:p>
      <w:pPr>
        <w:spacing w:after="120" w:before="0" w:line="300"/>
        <w:jc w:val="both"/>
      </w:pPr>
      <w:r>
        <w:rPr>
          <w:rFonts w:ascii="Arial" w:cs="Arial" w:eastAsia="Arial" w:hAnsi="Arial"/>
          <w:sz w:val="22"/>
          <w:szCs w:val="22"/>
        </w:rPr>
        <w:t xml:space="preserve">The instructed attorney should audit EULA v1.0 (currently in draft) for the following clauses, which are load-bearing for the Tuppence regulatory characterisation set out in Section 5 of this memorandum. The audit is necessary in any event before public launch, but is critically necessary before any user makes a paid Tuppence purchase.</w:t>
      </w:r>
    </w:p>
    <w:p>
      <w:pPr>
        <w:pStyle w:val="ListParagraph"/>
        <w:numPr>
          <w:ilvl w:val="0"/>
          <w:numId w:val="2"/>
        </w:numPr>
        <w:spacing w:after="80" w:line="280"/>
      </w:pPr>
      <w:r>
        <w:rPr>
          <w:rFonts w:ascii="Arial" w:cs="Arial" w:eastAsia="Arial" w:hAnsi="Arial"/>
          <w:sz w:val="22"/>
          <w:szCs w:val="22"/>
        </w:rPr>
        <w:t xml:space="preserve">Grant clause: Tuppence is granted as a non-transferable, revocable licence to access introduction features of the platform; Tuppence is not money, is not a security, and is not a stored value redeemable for cash or for goods or services other than as expressly provided by the platform.</w:t>
      </w:r>
    </w:p>
    <w:p>
      <w:pPr>
        <w:pStyle w:val="ListParagraph"/>
        <w:numPr>
          <w:ilvl w:val="0"/>
          <w:numId w:val="2"/>
        </w:numPr>
        <w:spacing w:after="80" w:line="280"/>
      </w:pPr>
      <w:r>
        <w:rPr>
          <w:rFonts w:ascii="Arial" w:cs="Arial" w:eastAsia="Arial" w:hAnsi="Arial"/>
          <w:sz w:val="22"/>
          <w:szCs w:val="22"/>
        </w:rPr>
        <w:t xml:space="preserve">Non-transferability: an express prohibition on any attempt to sell, gift, transfer, assign or sublicense Tuppence balances, with platform discretion to suspend accounts that breach.</w:t>
      </w:r>
    </w:p>
    <w:p>
      <w:pPr>
        <w:pStyle w:val="ListParagraph"/>
        <w:numPr>
          <w:ilvl w:val="0"/>
          <w:numId w:val="2"/>
        </w:numPr>
        <w:spacing w:after="80" w:line="280"/>
      </w:pPr>
      <w:r>
        <w:rPr>
          <w:rFonts w:ascii="Arial" w:cs="Arial" w:eastAsia="Arial" w:hAnsi="Arial"/>
          <w:sz w:val="22"/>
          <w:szCs w:val="22"/>
        </w:rPr>
        <w:t xml:space="preserve">Refund characterisation: any restitution of Tuppence following a counterparty decline state is at the platform's discretion under the terms of the EULA; restitution is denominated in Tuppence units and is not a refund of money paid.</w:t>
      </w:r>
    </w:p>
    <w:p>
      <w:pPr>
        <w:pStyle w:val="ListParagraph"/>
        <w:numPr>
          <w:ilvl w:val="0"/>
          <w:numId w:val="2"/>
        </w:numPr>
        <w:spacing w:after="80" w:line="280"/>
      </w:pPr>
      <w:r>
        <w:rPr>
          <w:rFonts w:ascii="Arial" w:cs="Arial" w:eastAsia="Arial" w:hAnsi="Arial"/>
          <w:sz w:val="22"/>
          <w:szCs w:val="22"/>
        </w:rPr>
        <w:t xml:space="preserve">No interest: Tuppence balances do not accrue interest of any kind.</w:t>
      </w:r>
    </w:p>
    <w:p>
      <w:pPr>
        <w:pStyle w:val="ListParagraph"/>
        <w:numPr>
          <w:ilvl w:val="0"/>
          <w:numId w:val="2"/>
        </w:numPr>
        <w:spacing w:after="80" w:line="280"/>
      </w:pPr>
      <w:r>
        <w:rPr>
          <w:rFonts w:ascii="Arial" w:cs="Arial" w:eastAsia="Arial" w:hAnsi="Arial"/>
          <w:sz w:val="22"/>
          <w:szCs w:val="22"/>
        </w:rPr>
        <w:t xml:space="preserve">Expiry: Tuppence balances expire on 24 months of account dormancy. Notice of pending expiry by email no less than 30 days before expiry.</w:t>
      </w:r>
    </w:p>
    <w:p>
      <w:pPr>
        <w:pStyle w:val="ListParagraph"/>
        <w:numPr>
          <w:ilvl w:val="0"/>
          <w:numId w:val="2"/>
        </w:numPr>
        <w:spacing w:after="80" w:line="280"/>
      </w:pPr>
      <w:r>
        <w:rPr>
          <w:rFonts w:ascii="Arial" w:cs="Arial" w:eastAsia="Arial" w:hAnsi="Arial"/>
          <w:sz w:val="22"/>
          <w:szCs w:val="22"/>
        </w:rPr>
        <w:t xml:space="preserve">Limitation on use: Tuppence may be used only to gate introduction requests on the platform; Tuppence may not be used as consideration in any agreement between the user and any seller.</w:t>
      </w:r>
    </w:p>
    <w:p>
      <w:pPr>
        <w:pStyle w:val="ListParagraph"/>
        <w:numPr>
          <w:ilvl w:val="0"/>
          <w:numId w:val="2"/>
        </w:numPr>
        <w:spacing w:after="80" w:line="280"/>
      </w:pPr>
      <w:r>
        <w:rPr>
          <w:rFonts w:ascii="Arial" w:cs="Arial" w:eastAsia="Arial" w:hAnsi="Arial"/>
          <w:sz w:val="22"/>
          <w:szCs w:val="22"/>
        </w:rPr>
        <w:t xml:space="preserve">Closure: on account closure for any reason, any remaining Tuppence balance is forfeit; the platform may, at its discretion, refund the most recent unspent purchase tranche under the consumer-protection terms in the EULA, but is not obliged to do so.</w:t>
      </w:r>
    </w:p>
    <w:p>
      <w:r>
        <w:br w:type="page"/>
      </w:r>
    </w:p>
    <w:p>
      <w:pPr>
        <w:pStyle w:val="Heading1"/>
        <w:spacing w:after="180" w:before="360"/>
      </w:pPr>
      <w:r>
        <w:rPr>
          <w:rFonts w:ascii="Arial" w:cs="Arial" w:eastAsia="Arial" w:hAnsi="Arial"/>
          <w:b/>
          <w:bCs/>
          <w:color w:val="1F3864"/>
          <w:sz w:val="32"/>
          <w:szCs w:val="32"/>
        </w:rPr>
        <w:t xml:space="preserve">10.  Pre-Filing Checklist (One Page)</w:t>
      </w:r>
    </w:p>
    <w:p>
      <w:pPr>
        <w:spacing w:after="120" w:before="0" w:line="300"/>
        <w:jc w:val="both"/>
      </w:pPr>
      <w:r>
        <w:rPr>
          <w:rFonts w:ascii="Arial" w:cs="Arial" w:eastAsia="Arial" w:hAnsi="Arial"/>
          <w:i/>
          <w:iCs/>
          <w:sz w:val="22"/>
          <w:szCs w:val="22"/>
        </w:rPr>
        <w:t xml:space="preserve">This checklist is intended to be self-contained and may be circulated to the board, the instructed firm, and the development team as the operational document governing the next 30 days.</w:t>
      </w:r>
    </w:p>
    <w:p>
      <w:pPr>
        <w:pStyle w:val="Heading3"/>
        <w:spacing w:after="100" w:before="200"/>
      </w:pPr>
      <w:r>
        <w:rPr>
          <w:rFonts w:ascii="Arial" w:cs="Arial" w:eastAsia="Arial" w:hAnsi="Arial"/>
          <w:b/>
          <w:bCs/>
          <w:color w:val="2E74B5"/>
          <w:sz w:val="23"/>
          <w:szCs w:val="23"/>
        </w:rPr>
        <w:t xml:space="preserve">READY TO FILE</w:t>
      </w:r>
    </w:p>
    <w:p>
      <w:pPr>
        <w:pStyle w:val="ListParagraph"/>
        <w:numPr>
          <w:ilvl w:val="0"/>
          <w:numId w:val="2"/>
        </w:numPr>
        <w:spacing w:after="80" w:line="280"/>
      </w:pPr>
      <w:r>
        <w:rPr>
          <w:rFonts w:ascii="Arial" w:cs="Arial" w:eastAsia="Arial" w:hAnsi="Arial"/>
          <w:sz w:val="22"/>
          <w:szCs w:val="22"/>
        </w:rPr>
        <w:t xml:space="preserve">CIPC entity registration. TrustSquare (Pty) Ltd, Reg. 2026/340128/07, CoR15.1A on file.</w:t>
      </w:r>
    </w:p>
    <w:p>
      <w:pPr>
        <w:pStyle w:val="ListParagraph"/>
        <w:numPr>
          <w:ilvl w:val="0"/>
          <w:numId w:val="2"/>
        </w:numPr>
        <w:spacing w:after="80" w:line="280"/>
      </w:pPr>
      <w:r>
        <w:rPr>
          <w:rFonts w:ascii="Arial" w:cs="Arial" w:eastAsia="Arial" w:hAnsi="Arial"/>
          <w:sz w:val="22"/>
          <w:szCs w:val="22"/>
        </w:rPr>
        <w:t xml:space="preserve">Bank account. FNB business account 63208160117 active (7 May 2026).</w:t>
      </w:r>
    </w:p>
    <w:p>
      <w:pPr>
        <w:pStyle w:val="ListParagraph"/>
        <w:numPr>
          <w:ilvl w:val="0"/>
          <w:numId w:val="2"/>
        </w:numPr>
        <w:spacing w:after="80" w:line="280"/>
      </w:pPr>
      <w:r>
        <w:rPr>
          <w:rFonts w:ascii="Arial" w:cs="Arial" w:eastAsia="Arial" w:hAnsi="Arial"/>
          <w:sz w:val="22"/>
          <w:szCs w:val="22"/>
        </w:rPr>
        <w:t xml:space="preserve">Whitepaper v3 (25 Apr 2026). Substantive disclosure adequate as priority document, subject to amended claim language being substituted before lodgement.</w:t>
      </w:r>
    </w:p>
    <w:p>
      <w:pPr>
        <w:pStyle w:val="ListParagraph"/>
        <w:numPr>
          <w:ilvl w:val="0"/>
          <w:numId w:val="2"/>
        </w:numPr>
        <w:spacing w:after="80" w:line="280"/>
      </w:pPr>
      <w:r>
        <w:rPr>
          <w:rFonts w:ascii="Arial" w:cs="Arial" w:eastAsia="Arial" w:hAnsi="Arial"/>
          <w:sz w:val="22"/>
          <w:szCs w:val="22"/>
        </w:rPr>
        <w:t xml:space="preserve">Infrastructure. Platform live at trustsquare.co (HTTPS, Hetzner). Backups, R2 storage and DNS configured.</w:t>
      </w:r>
    </w:p>
    <w:p>
      <w:pPr>
        <w:pStyle w:val="Heading3"/>
        <w:spacing w:after="100" w:before="200"/>
      </w:pPr>
      <w:r>
        <w:rPr>
          <w:rFonts w:ascii="Arial" w:cs="Arial" w:eastAsia="Arial" w:hAnsi="Arial"/>
          <w:b/>
          <w:bCs/>
          <w:color w:val="2E74B5"/>
          <w:sz w:val="23"/>
          <w:szCs w:val="23"/>
        </w:rPr>
        <w:t xml:space="preserve">ATTORNEY REVIEW REQUIRED BEFORE FILING</w:t>
      </w:r>
    </w:p>
    <w:p>
      <w:pPr>
        <w:pStyle w:val="ListParagraph"/>
        <w:numPr>
          <w:ilvl w:val="0"/>
          <w:numId w:val="2"/>
        </w:numPr>
        <w:spacing w:after="80" w:line="280"/>
      </w:pPr>
      <w:r>
        <w:rPr>
          <w:rFonts w:ascii="Arial" w:cs="Arial" w:eastAsia="Arial" w:hAnsi="Arial"/>
          <w:sz w:val="22"/>
          <w:szCs w:val="22"/>
        </w:rPr>
        <w:t xml:space="preserve">Amended Claim 1 (Unified Participation) — substitute Section 4.5 / 8.1 redraft.</w:t>
      </w:r>
    </w:p>
    <w:p>
      <w:pPr>
        <w:pStyle w:val="ListParagraph"/>
        <w:numPr>
          <w:ilvl w:val="0"/>
          <w:numId w:val="2"/>
        </w:numPr>
        <w:spacing w:after="80" w:line="280"/>
      </w:pPr>
      <w:r>
        <w:rPr>
          <w:rFonts w:ascii="Arial" w:cs="Arial" w:eastAsia="Arial" w:hAnsi="Arial"/>
          <w:sz w:val="22"/>
          <w:szCs w:val="22"/>
        </w:rPr>
        <w:t xml:space="preserve">Amended Claim 2 (Tuppence) — substitute Section 8.2 redraft, addressing Bark / Thumbtack overlap.</w:t>
      </w:r>
    </w:p>
    <w:p>
      <w:pPr>
        <w:pStyle w:val="ListParagraph"/>
        <w:numPr>
          <w:ilvl w:val="0"/>
          <w:numId w:val="2"/>
        </w:numPr>
        <w:spacing w:after="80" w:line="280"/>
      </w:pPr>
      <w:r>
        <w:rPr>
          <w:rFonts w:ascii="Arial" w:cs="Arial" w:eastAsia="Arial" w:hAnsi="Arial"/>
          <w:sz w:val="22"/>
          <w:szCs w:val="22"/>
        </w:rPr>
        <w:t xml:space="preserve">Amended Claim 3 (Anonymous Introduction) — substitute Section 8.3 redraft.</w:t>
      </w:r>
    </w:p>
    <w:p>
      <w:pPr>
        <w:pStyle w:val="ListParagraph"/>
        <w:numPr>
          <w:ilvl w:val="0"/>
          <w:numId w:val="2"/>
        </w:numPr>
        <w:spacing w:after="80" w:line="280"/>
      </w:pPr>
      <w:r>
        <w:rPr>
          <w:rFonts w:ascii="Arial" w:cs="Arial" w:eastAsia="Arial" w:hAnsi="Arial"/>
          <w:sz w:val="22"/>
          <w:szCs w:val="22"/>
        </w:rPr>
        <w:t xml:space="preserve">Amended Claim 4 (Trust Score) — substitute Section 8.4 redraft OR demote to dependent under Claim 7.</w:t>
      </w:r>
    </w:p>
    <w:p>
      <w:pPr>
        <w:pStyle w:val="ListParagraph"/>
        <w:numPr>
          <w:ilvl w:val="0"/>
          <w:numId w:val="2"/>
        </w:numPr>
        <w:spacing w:after="80" w:line="280"/>
      </w:pPr>
      <w:r>
        <w:rPr>
          <w:rFonts w:ascii="Arial" w:cs="Arial" w:eastAsia="Arial" w:hAnsi="Arial"/>
          <w:sz w:val="22"/>
          <w:szCs w:val="22"/>
        </w:rPr>
        <w:t xml:space="preserve">Amended Claim 5 (Geo Visibility) — substitute Section 8.5 redraft.</w:t>
      </w:r>
    </w:p>
    <w:p>
      <w:pPr>
        <w:pStyle w:val="ListParagraph"/>
        <w:numPr>
          <w:ilvl w:val="0"/>
          <w:numId w:val="2"/>
        </w:numPr>
        <w:spacing w:after="80" w:line="280"/>
      </w:pPr>
      <w:r>
        <w:rPr>
          <w:rFonts w:ascii="Arial" w:cs="Arial" w:eastAsia="Arial" w:hAnsi="Arial"/>
          <w:sz w:val="22"/>
          <w:szCs w:val="22"/>
        </w:rPr>
        <w:t xml:space="preserve">Amended Claim 6 (Founding Cohort) — substitute Section 8.6 redraft OR demote to dependent under Claim 5 / 7.</w:t>
      </w:r>
    </w:p>
    <w:p>
      <w:pPr>
        <w:pStyle w:val="ListParagraph"/>
        <w:numPr>
          <w:ilvl w:val="0"/>
          <w:numId w:val="2"/>
        </w:numPr>
        <w:spacing w:after="80" w:line="280"/>
      </w:pPr>
      <w:r>
        <w:rPr>
          <w:rFonts w:ascii="Arial" w:cs="Arial" w:eastAsia="Arial" w:hAnsi="Arial"/>
          <w:sz w:val="22"/>
          <w:szCs w:val="22"/>
        </w:rPr>
        <w:t xml:space="preserve">Amended Claim 7 (Combination) — substitute Section 8.7 redraft with explicit element-interaction limitations.</w:t>
      </w:r>
    </w:p>
    <w:p>
      <w:pPr>
        <w:pStyle w:val="ListParagraph"/>
        <w:numPr>
          <w:ilvl w:val="0"/>
          <w:numId w:val="2"/>
        </w:numPr>
        <w:spacing w:after="80" w:line="280"/>
      </w:pPr>
      <w:r>
        <w:rPr>
          <w:rFonts w:ascii="Arial" w:cs="Arial" w:eastAsia="Arial" w:hAnsi="Arial"/>
          <w:sz w:val="22"/>
          <w:szCs w:val="22"/>
        </w:rPr>
        <w:t xml:space="preserve">EULA v1.0 audit per Section 9 of this memorandum — completed and effective before any paid Tuppence purchase.</w:t>
      </w:r>
    </w:p>
    <w:p>
      <w:pPr>
        <w:pStyle w:val="ListParagraph"/>
        <w:numPr>
          <w:ilvl w:val="0"/>
          <w:numId w:val="2"/>
        </w:numPr>
        <w:spacing w:after="80" w:line="280"/>
      </w:pPr>
      <w:r>
        <w:rPr>
          <w:rFonts w:ascii="Arial" w:cs="Arial" w:eastAsia="Arial" w:hAnsi="Arial"/>
          <w:sz w:val="22"/>
          <w:szCs w:val="22"/>
        </w:rPr>
        <w:t xml:space="preserve">Foreign-filing-licence confirmation: confirm CIPC RO route discharges section 23A obligation. (No separate s 23A application required.)</w:t>
      </w:r>
    </w:p>
    <w:p>
      <w:pPr>
        <w:pStyle w:val="ListParagraph"/>
        <w:numPr>
          <w:ilvl w:val="0"/>
          <w:numId w:val="2"/>
        </w:numPr>
        <w:spacing w:after="80" w:line="280"/>
      </w:pPr>
      <w:r>
        <w:rPr>
          <w:rFonts w:ascii="Arial" w:cs="Arial" w:eastAsia="Arial" w:hAnsi="Arial"/>
          <w:sz w:val="22"/>
          <w:szCs w:val="22"/>
        </w:rPr>
        <w:t xml:space="preserve">Trademark filing: prepare CIPC trademark application TRUSTSQUARE in classes 35, 36, 42 for same-day filing as provisional.</w:t>
      </w:r>
    </w:p>
    <w:p>
      <w:pPr>
        <w:pStyle w:val="Heading3"/>
        <w:spacing w:after="100" w:before="200"/>
      </w:pPr>
      <w:r>
        <w:rPr>
          <w:rFonts w:ascii="Arial" w:cs="Arial" w:eastAsia="Arial" w:hAnsi="Arial"/>
          <w:b/>
          <w:bCs/>
          <w:color w:val="2E74B5"/>
          <w:sz w:val="23"/>
          <w:szCs w:val="23"/>
        </w:rPr>
        <w:t xml:space="preserve">THREE HIGHEST-PRIORITY ACTIONS (NEXT 7 DAYS)</w:t>
      </w:r>
    </w:p>
    <w:p>
      <w:pPr>
        <w:pStyle w:val="ListParagraph"/>
        <w:numPr>
          <w:ilvl w:val="0"/>
          <w:numId w:val="3"/>
        </w:numPr>
        <w:spacing w:after="80" w:line="280"/>
      </w:pPr>
      <w:r>
        <w:rPr>
          <w:rFonts w:ascii="Arial" w:cs="Arial" w:eastAsia="Arial" w:hAnsi="Arial"/>
          <w:sz w:val="22"/>
          <w:szCs w:val="22"/>
        </w:rPr>
        <w:t xml:space="preserve">Engage instructed firm (Adams &amp; Adams or Spoor &amp; Fisher) within 5 business days. Brief them with this memorandum, the whitepaper v3, the IP strategy v1, the CoR15.1A and the EULA v1.0 draft. Budget R5,000 for the initial consultation.</w:t>
      </w:r>
    </w:p>
    <w:p>
      <w:pPr>
        <w:pStyle w:val="ListParagraph"/>
        <w:numPr>
          <w:ilvl w:val="0"/>
          <w:numId w:val="3"/>
        </w:numPr>
        <w:spacing w:after="80" w:line="280"/>
      </w:pPr>
      <w:r>
        <w:rPr>
          <w:rFonts w:ascii="Arial" w:cs="Arial" w:eastAsia="Arial" w:hAnsi="Arial"/>
          <w:sz w:val="22"/>
          <w:szCs w:val="22"/>
        </w:rPr>
        <w:t xml:space="preserve">Re-draft Claims 2, 4 and 6 per Sections 8.2, 8.4 and 8.6 of this memorandum before the provisional is lodged. These are the three claims whose current language presents either a high prior-art risk (C2, C4) or a high manner-of-manufacture risk (C6). Failure to redraft these will preserve weaknesses in the priority document that cannot be cured later in the PCT — the priority date attaches to what was disclosed at the provisional, not to what is added later.</w:t>
      </w:r>
    </w:p>
    <w:p>
      <w:pPr>
        <w:pStyle w:val="ListParagraph"/>
        <w:numPr>
          <w:ilvl w:val="0"/>
          <w:numId w:val="3"/>
        </w:numPr>
        <w:spacing w:after="80" w:line="280"/>
      </w:pPr>
      <w:r>
        <w:rPr>
          <w:rFonts w:ascii="Arial" w:cs="Arial" w:eastAsia="Arial" w:hAnsi="Arial"/>
          <w:sz w:val="22"/>
          <w:szCs w:val="22"/>
        </w:rPr>
        <w:t xml:space="preserve">Insert express EULA language characterising Tuppence as a non-transferable, non-redeemable platform service credit with discretionary partial reissuance, before any user makes a paid Tuppence purchase. This is the load-bearing safeguard against Banks Act exposure. The development team should not enable paid Tuppence purchases on production until this language is live.</w:t>
      </w:r>
    </w:p>
    <w:p>
      <w:pPr>
        <w:pStyle w:val="Heading3"/>
        <w:spacing w:after="100" w:before="200"/>
      </w:pPr>
      <w:r>
        <w:rPr>
          <w:rFonts w:ascii="Arial" w:cs="Arial" w:eastAsia="Arial" w:hAnsi="Arial"/>
          <w:b/>
          <w:bCs/>
          <w:color w:val="2E74B5"/>
          <w:sz w:val="23"/>
          <w:szCs w:val="23"/>
        </w:rPr>
        <w:t xml:space="preserve">FILING-DAY SEQUENCE (DAY 0)</w:t>
      </w:r>
    </w:p>
    <w:p>
      <w:pPr>
        <w:pStyle w:val="ListParagraph"/>
        <w:numPr>
          <w:ilvl w:val="0"/>
          <w:numId w:val="3"/>
        </w:numPr>
        <w:spacing w:after="80" w:line="280"/>
      </w:pPr>
      <w:r>
        <w:rPr>
          <w:rFonts w:ascii="Arial" w:cs="Arial" w:eastAsia="Arial" w:hAnsi="Arial"/>
          <w:sz w:val="22"/>
          <w:szCs w:val="22"/>
        </w:rPr>
        <w:t xml:space="preserve">File SA provisional patent via iponline.cipc.co.za. Capture filing receipt and priority date.</w:t>
      </w:r>
    </w:p>
    <w:p>
      <w:pPr>
        <w:pStyle w:val="ListParagraph"/>
        <w:numPr>
          <w:ilvl w:val="0"/>
          <w:numId w:val="3"/>
        </w:numPr>
        <w:spacing w:after="80" w:line="280"/>
      </w:pPr>
      <w:r>
        <w:rPr>
          <w:rFonts w:ascii="Arial" w:cs="Arial" w:eastAsia="Arial" w:hAnsi="Arial"/>
          <w:sz w:val="22"/>
          <w:szCs w:val="22"/>
        </w:rPr>
        <w:t xml:space="preserve">File SA trademark applications (classes 35, 36, 42).</w:t>
      </w:r>
    </w:p>
    <w:p>
      <w:pPr>
        <w:pStyle w:val="ListParagraph"/>
        <w:numPr>
          <w:ilvl w:val="0"/>
          <w:numId w:val="3"/>
        </w:numPr>
        <w:spacing w:after="80" w:line="280"/>
      </w:pPr>
      <w:r>
        <w:rPr>
          <w:rFonts w:ascii="Arial" w:cs="Arial" w:eastAsia="Arial" w:hAnsi="Arial"/>
          <w:sz w:val="22"/>
          <w:szCs w:val="22"/>
        </w:rPr>
        <w:t xml:space="preserve">SHA-256 hash whitepaper v3 and submit hash to OpenTimestamps. Record the OTS receipt.</w:t>
      </w:r>
    </w:p>
    <w:p>
      <w:pPr>
        <w:pStyle w:val="ListParagraph"/>
        <w:numPr>
          <w:ilvl w:val="0"/>
          <w:numId w:val="3"/>
        </w:numPr>
        <w:spacing w:after="80" w:line="280"/>
      </w:pPr>
      <w:r>
        <w:rPr>
          <w:rFonts w:ascii="Arial" w:cs="Arial" w:eastAsia="Arial" w:hAnsi="Arial"/>
          <w:sz w:val="22"/>
          <w:szCs w:val="22"/>
        </w:rPr>
        <w:t xml:space="preserve">Upload whitepaper v3 to ip.com prior-art database.</w:t>
      </w:r>
    </w:p>
    <w:p>
      <w:pPr>
        <w:pStyle w:val="ListParagraph"/>
        <w:numPr>
          <w:ilvl w:val="0"/>
          <w:numId w:val="3"/>
        </w:numPr>
        <w:spacing w:after="80" w:line="280"/>
      </w:pPr>
      <w:r>
        <w:rPr>
          <w:rFonts w:ascii="Arial" w:cs="Arial" w:eastAsia="Arial" w:hAnsi="Arial"/>
          <w:sz w:val="22"/>
          <w:szCs w:val="22"/>
        </w:rPr>
        <w:t xml:space="preserve">Submit trustsquare.co to archive.org/save.</w:t>
      </w:r>
    </w:p>
    <w:p>
      <w:pPr>
        <w:pStyle w:val="ListParagraph"/>
        <w:numPr>
          <w:ilvl w:val="0"/>
          <w:numId w:val="3"/>
        </w:numPr>
        <w:spacing w:after="80" w:line="280"/>
      </w:pPr>
      <w:r>
        <w:rPr>
          <w:rFonts w:ascii="Arial" w:cs="Arial" w:eastAsia="Arial" w:hAnsi="Arial"/>
          <w:sz w:val="22"/>
          <w:szCs w:val="22"/>
        </w:rPr>
        <w:t xml:space="preserve">ONLY then publish the whitepaper publicly and commence the 5-wave email launch campaign.</w:t>
      </w:r>
    </w:p>
    <w:p>
      <w:pPr>
        <w:pStyle w:val="Heading1"/>
        <w:spacing w:after="180" w:before="360"/>
      </w:pPr>
      <w:r>
        <w:rPr>
          <w:rFonts w:ascii="Arial" w:cs="Arial" w:eastAsia="Arial" w:hAnsi="Arial"/>
          <w:b/>
          <w:bCs/>
          <w:color w:val="1F3864"/>
          <w:sz w:val="32"/>
          <w:szCs w:val="32"/>
        </w:rPr>
        <w:t xml:space="preserve">11.  Closing Remarks and Reservations</w:t>
      </w:r>
    </w:p>
    <w:p>
      <w:pPr>
        <w:spacing w:after="120" w:before="0" w:line="300"/>
        <w:jc w:val="both"/>
      </w:pPr>
      <w:r>
        <w:rPr>
          <w:rFonts w:ascii="Arial" w:cs="Arial" w:eastAsia="Arial" w:hAnsi="Arial"/>
          <w:sz w:val="22"/>
          <w:szCs w:val="22"/>
        </w:rPr>
        <w:t xml:space="preserve">This memorandum is offered as a senior practitioner's pre-filing strategic assessment. It is not a final patentability opinion. The instructed firm of record should be permitted to verify and where necessary modify each conclusion in this memorandum, in particular the prior-art assessment (which has been performed against publicly observable behaviour and selected patent literature, but has not been performed as a full patent landscape search) and the regulatory analysis (which is current as at 12 May 2026 and is subject to SARB's ongoing crypto-asset and stored-value-product policy development).</w:t>
      </w:r>
    </w:p>
    <w:p>
      <w:pPr>
        <w:spacing w:after="120" w:before="0" w:line="300"/>
        <w:jc w:val="both"/>
      </w:pPr>
      <w:r>
        <w:rPr>
          <w:rFonts w:ascii="Arial" w:cs="Arial" w:eastAsia="Arial" w:hAnsi="Arial"/>
          <w:sz w:val="22"/>
          <w:szCs w:val="22"/>
        </w:rPr>
        <w:t xml:space="preserve">The patent strategy as a whole is sound. The seven claims as a set are well-conceived. The core inventive thesis — that a marketplace can be built without persisted role attributes, with a non-transferable buyer-side credit, and with bilateral consent-gated disclosure — is a coherent and defensible proposition. With the redrafts proposed in this memorandum, and the regulatory safeguards proposed in Section 9, the provisional filing is in good shape to be lodged.</w:t>
      </w:r>
    </w:p>
    <w:p>
      <w:pPr>
        <w:spacing w:after="120" w:before="0" w:line="300"/>
        <w:jc w:val="both"/>
      </w:pPr>
      <w:r>
        <w:rPr>
          <w:rFonts w:ascii="Arial" w:cs="Arial" w:eastAsia="Arial" w:hAnsi="Arial"/>
          <w:sz w:val="22"/>
          <w:szCs w:val="22"/>
        </w:rPr>
        <w:t xml:space="preserve">Counsel of record at filing should be selected with explicit software-patent specialisation. Within the named recommended firms (Adams &amp; Adams, Spoor &amp; Fisher, Bowmans), the relevant partners are in each firm's IP / patents practice with technology-sector focus. Initial enquiry should request specific identification of the partner and the senior associate, and confirmation of their availability for the PCT preparation cycle in Months 3-11.</w:t>
      </w:r>
    </w:p>
    <w:p>
      <w:pPr>
        <w:spacing w:after="120" w:before="200" w:line="300"/>
        <w:jc w:val="center"/>
      </w:pPr>
      <w:r>
        <w:rPr>
          <w:rFonts w:ascii="Arial" w:cs="Arial" w:eastAsia="Arial" w:hAnsi="Arial"/>
          <w:i/>
          <w:iCs/>
          <w:sz w:val="22"/>
          <w:szCs w:val="22"/>
        </w:rPr>
        <w:t xml:space="preserve">— Ends —</w:t>
      </w:r>
    </w:p>
    <w:p>
      <w:pPr>
        <w:spacing w:after="120" w:before="0" w:line="300"/>
        <w:jc w:val="both"/>
      </w:pPr>
      <w:r>
        <w:rPr>
          <w:rFonts w:ascii="Arial" w:cs="Arial" w:eastAsia="Arial" w:hAnsi="Arial"/>
          <w:sz w:val="22"/>
          <w:szCs w:val="22"/>
        </w:rPr>
        <w:t xml:space="preserve"/>
      </w:r>
    </w:p>
    <w:p>
      <w:pPr>
        <w:spacing w:before="200"/>
        <w:jc w:val="left"/>
      </w:pPr>
      <w:r>
        <w:rPr>
          <w:rFonts w:ascii="Arial" w:cs="Arial" w:eastAsia="Arial" w:hAnsi="Arial"/>
          <w:i/>
          <w:iCs/>
          <w:sz w:val="20"/>
          <w:szCs w:val="20"/>
        </w:rPr>
        <w:t xml:space="preserve">Prepared by: Senior Patent Counsel  —  SA Software &amp; Platform IP Practice</w:t>
      </w:r>
    </w:p>
    <w:p>
      <w:pPr>
        <w:jc w:val="left"/>
      </w:pPr>
      <w:r>
        <w:rPr>
          <w:rFonts w:ascii="Arial" w:cs="Arial" w:eastAsia="Arial" w:hAnsi="Arial"/>
          <w:i/>
          <w:iCs/>
          <w:sz w:val="20"/>
          <w:szCs w:val="20"/>
        </w:rPr>
        <w:t xml:space="preserve">Document reference: TS-PRE-FILING-2026-05-12-v1</w:t>
      </w:r>
    </w:p>
    <w:p>
      <w:pPr>
        <w:jc w:val="left"/>
      </w:pPr>
      <w:r>
        <w:rPr>
          <w:rFonts w:ascii="Arial" w:cs="Arial" w:eastAsia="Arial" w:hAnsi="Arial"/>
          <w:i/>
          <w:iCs/>
          <w:color w:val="C00000"/>
          <w:sz w:val="20"/>
          <w:szCs w:val="20"/>
        </w:rPr>
        <w:t xml:space="preserve">Status: DRAFT — for handover to instructed firm of record.</w:t>
      </w:r>
    </w:p>
    <w:sectPr>
      <w:headerReference w:type="default" r:id="rId11"/>
      <w:footerReference w:type="default" r:id="rId12"/>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8"/>
        <w:szCs w:val="18"/>
      </w:rPr>
      <w:t xml:space="preserve">TrustSquare (Pty) Ltd  —  Pre-Filing Patent Memorandum  —  12 May 2026  —  Page </w:t>
    </w:r>
    <w:r>
      <w:rPr>
        <w:rFonts w:ascii="Arial" w:cs="Arial" w:eastAsia="Arial" w:hAnsi="Arial"/>
        <w:color w:val="808080"/>
        <w:sz w:val="18"/>
        <w:szCs w:val="18"/>
      </w:rPr>
      <w:fldChar w:fldCharType="begin"/>
      <w:instrText xml:space="preserve">PAGE</w:instrText>
      <w:fldChar w:fldCharType="separate"/>
      <w:fldChar w:fldCharType="end"/>
    </w:r>
    <w:r>
      <w:rPr>
        <w:rFonts w:ascii="Arial" w:cs="Arial" w:eastAsia="Arial" w:hAnsi="Arial"/>
        <w:color w:val="808080"/>
        <w:sz w:val="18"/>
        <w:szCs w:val="18"/>
      </w:rPr>
      <w:t xml:space="preserve"> of </w:t>
    </w:r>
    <w:r>
      <w:rPr>
        <w:rFonts w:ascii="Arial" w:cs="Arial" w:eastAsia="Arial" w:hAnsi="Arial"/>
        <w:color w:val="808080"/>
        <w:sz w:val="18"/>
        <w:szCs w:val="18"/>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8"/>
        <w:szCs w:val="18"/>
      </w:rPr>
      <w:t xml:space="preserve">TrustSquare (Pty) Ltd  —  Pre-Filing Patent Memorandum  —  12 May 2026  —  Page </w:t>
    </w:r>
    <w:r>
      <w:rPr>
        <w:rFonts w:ascii="Arial" w:cs="Arial" w:eastAsia="Arial" w:hAnsi="Arial"/>
        <w:color w:val="808080"/>
        <w:sz w:val="18"/>
        <w:szCs w:val="18"/>
      </w:rPr>
      <w:fldChar w:fldCharType="begin"/>
      <w:instrText xml:space="preserve">PAGE</w:instrText>
      <w:fldChar w:fldCharType="separate"/>
      <w:fldChar w:fldCharType="end"/>
    </w:r>
    <w:r>
      <w:rPr>
        <w:rFonts w:ascii="Arial" w:cs="Arial" w:eastAsia="Arial" w:hAnsi="Arial"/>
        <w:color w:val="808080"/>
        <w:sz w:val="18"/>
        <w:szCs w:val="18"/>
      </w:rPr>
      <w:t xml:space="preserve"> of </w:t>
    </w:r>
    <w:r>
      <w:rPr>
        <w:rFonts w:ascii="Arial" w:cs="Arial" w:eastAsia="Arial" w:hAnsi="Arial"/>
        <w:color w:val="808080"/>
        <w:sz w:val="18"/>
        <w:szCs w:val="18"/>
      </w:rPr>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8"/>
        <w:szCs w:val="18"/>
      </w:rPr>
      <w:t xml:space="preserve">TrustSquare (Pty) Ltd  —  Pre-Filing Patent Memorandum  —  12 May 2026  —  Page </w:t>
    </w:r>
    <w:r>
      <w:rPr>
        <w:rFonts w:ascii="Arial" w:cs="Arial" w:eastAsia="Arial" w:hAnsi="Arial"/>
        <w:color w:val="808080"/>
        <w:sz w:val="18"/>
        <w:szCs w:val="18"/>
      </w:rPr>
      <w:fldChar w:fldCharType="begin"/>
      <w:instrText xml:space="preserve">PAGE</w:instrText>
      <w:fldChar w:fldCharType="separate"/>
      <w:fldChar w:fldCharType="end"/>
    </w:r>
    <w:r>
      <w:rPr>
        <w:rFonts w:ascii="Arial" w:cs="Arial" w:eastAsia="Arial" w:hAnsi="Arial"/>
        <w:color w:val="808080"/>
        <w:sz w:val="18"/>
        <w:szCs w:val="18"/>
      </w:rPr>
      <w:t xml:space="preserve"> of </w:t>
    </w:r>
    <w:r>
      <w:rPr>
        <w:rFonts w:ascii="Arial" w:cs="Arial" w:eastAsia="Arial" w:hAnsi="Arial"/>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08080"/>
        <w:sz w:val="18"/>
        <w:szCs w:val="18"/>
      </w:rPr>
      <w:t xml:space="preserve">Privileged &amp; Confidential  —  Attorney Work Product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08080"/>
        <w:sz w:val="18"/>
        <w:szCs w:val="18"/>
      </w:rPr>
      <w:t xml:space="preserve">Privileged &amp; Confidential  —  Attorney Work Product</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08080"/>
        <w:sz w:val="18"/>
        <w:szCs w:val="18"/>
      </w:rPr>
      <w:t xml:space="preserve">Privileged &amp; Confidential  —  Attorney Work Product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1F3864"/>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2E74B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TrustSquare Pre-Filing Patent Consultation Memorandum</dc:title>
  <dc:creator>Senior Patent Counsel</dc:creator>
  <cp:lastModifiedBy>Un-named</cp:lastModifiedBy>
  <cp:revision>1</cp:revision>
  <dcterms:created xsi:type="dcterms:W3CDTF">2026-05-12T17:23:47.680Z</dcterms:created>
  <dcterms:modified xsi:type="dcterms:W3CDTF">2026-05-12T17:23:47.681Z</dcterms:modified>
</cp:coreProperties>
</file>

<file path=docProps/custom.xml><?xml version="1.0" encoding="utf-8"?>
<Properties xmlns="http://schemas.openxmlformats.org/officeDocument/2006/custom-properties" xmlns:vt="http://schemas.openxmlformats.org/officeDocument/2006/docPropsVTypes"/>
</file>