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C00000"/>
          <w:sz w:val="22"/>
          <w:szCs w:val="22"/>
        </w:rPr>
        <w:t xml:space="preserve">PRIVILEGED AND CONFIDENTIAL — ATTORNEY WORK PRODUCT</w:t>
      </w:r>
    </w:p>
    <w:p>
      <w:pPr>
        <w:spacing w:after="360"/>
        <w:jc w:val="center"/>
      </w:pPr>
      <w:r>
        <w:rPr>
          <w:rFonts w:ascii="Arial" w:cs="Arial" w:eastAsia="Arial" w:hAnsi="Arial"/>
          <w:b/>
          <w:bCs/>
          <w:color w:val="1F3864"/>
          <w:sz w:val="32"/>
          <w:szCs w:val="32"/>
        </w:rPr>
        <w:t xml:space="preserve">ERRATUM TO PRE-FILING PATENT CONSULTATION MEMORANDUM</w:t>
      </w:r>
    </w:p>
    <w:p>
      <w:pPr>
        <w:spacing w:after="140" w:line="300"/>
        <w:jc w:val="both"/>
      </w:pPr>
      <w:r>
        <w:rPr>
          <w:rFonts w:ascii="Arial" w:cs="Arial" w:eastAsia="Arial" w:hAnsi="Arial"/>
          <w:b/>
          <w:bCs/>
          <w:sz w:val="22"/>
          <w:szCs w:val="22"/>
        </w:rPr>
        <w:t xml:space="preserve">Original document: </w:t>
      </w:r>
      <w:r>
        <w:rPr>
          <w:rFonts w:ascii="Arial" w:cs="Arial" w:eastAsia="Arial" w:hAnsi="Arial"/>
          <w:sz w:val="22"/>
          <w:szCs w:val="22"/>
        </w:rPr>
        <w:t xml:space="preserve">TS-PRE-FILING-2026-05-12-v1 (TrustSquare_Pre-Filing_Patent_Consultation_2026-05-12.docx)</w:t>
      </w:r>
    </w:p>
    <w:p>
      <w:pPr>
        <w:spacing w:after="140" w:line="300"/>
        <w:jc w:val="both"/>
      </w:pPr>
      <w:r>
        <w:rPr>
          <w:rFonts w:ascii="Arial" w:cs="Arial" w:eastAsia="Arial" w:hAnsi="Arial"/>
          <w:b/>
          <w:bCs/>
          <w:sz w:val="22"/>
          <w:szCs w:val="22"/>
        </w:rPr>
        <w:t xml:space="preserve">Erratum issued: </w:t>
      </w:r>
      <w:r>
        <w:rPr>
          <w:rFonts w:ascii="Arial" w:cs="Arial" w:eastAsia="Arial" w:hAnsi="Arial"/>
          <w:sz w:val="22"/>
          <w:szCs w:val="22"/>
        </w:rPr>
        <w:t xml:space="preserve">12 May 2026 (same day, post-instruction by client)</w:t>
      </w:r>
    </w:p>
    <w:p>
      <w:pPr>
        <w:spacing w:after="140" w:line="300"/>
        <w:jc w:val="both"/>
      </w:pPr>
      <w:r>
        <w:rPr>
          <w:rFonts w:ascii="Arial" w:cs="Arial" w:eastAsia="Arial" w:hAnsi="Arial"/>
          <w:b/>
          <w:bCs/>
          <w:sz w:val="22"/>
          <w:szCs w:val="22"/>
        </w:rPr>
        <w:t xml:space="preserve">Scope of correction: </w:t>
      </w:r>
      <w:r>
        <w:rPr>
          <w:rFonts w:ascii="Arial" w:cs="Arial" w:eastAsia="Arial" w:hAnsi="Arial"/>
          <w:sz w:val="22"/>
          <w:szCs w:val="22"/>
        </w:rPr>
        <w:t xml:space="preserve">Section 5.3 (Banks Act analysis) and Section 8.2 (amended Claim 2).</w:t>
      </w:r>
    </w:p>
    <w:p>
      <w:pPr>
        <w:spacing w:after="140" w:before="0" w:line="300"/>
        <w:jc w:val="both"/>
      </w:pPr>
      <w:r>
        <w:rPr>
          <w:rFonts w:ascii="Arial" w:cs="Arial" w:eastAsia="Arial" w:hAnsi="Arial"/>
          <w:sz w:val="22"/>
          <w:szCs w:val="22"/>
        </w:rPr>
        <w:t xml:space="preserve">This erratum should be circulated together with the original memorandum and forms part of the handover packet to the instructed firm of record.</w:t>
      </w:r>
    </w:p>
    <w:p>
      <w:pPr>
        <w:pStyle w:val="Heading1"/>
        <w:spacing w:after="140" w:before="240"/>
      </w:pPr>
      <w:r>
        <w:rPr>
          <w:rFonts w:ascii="Arial" w:cs="Arial" w:eastAsia="Arial" w:hAnsi="Arial"/>
          <w:b/>
          <w:bCs/>
          <w:color w:val="C00000"/>
          <w:sz w:val="30"/>
          <w:szCs w:val="30"/>
        </w:rPr>
        <w:t xml:space="preserve">Background to the correction</w:t>
      </w:r>
    </w:p>
    <w:p>
      <w:pPr>
        <w:spacing w:after="140" w:before="0" w:line="300"/>
        <w:jc w:val="both"/>
      </w:pPr>
      <w:r>
        <w:rPr>
          <w:rFonts w:ascii="Arial" w:cs="Arial" w:eastAsia="Arial" w:hAnsi="Arial"/>
          <w:sz w:val="22"/>
          <w:szCs w:val="22"/>
        </w:rPr>
        <w:t xml:space="preserve">The original memorandum, at Section 5.3, identified a marginal Banks Act 94 of 1990 risk arising from the "partial-refund-on-decline" mechanism described in the whitepaper and the draft EULA. The original recommendation was to characterise the refund as a discretionary platform reissuance to remove the conditional-repayment element.</w:t>
      </w:r>
    </w:p>
    <w:p>
      <w:pPr>
        <w:spacing w:after="140" w:before="0" w:line="300"/>
        <w:jc w:val="both"/>
      </w:pPr>
      <w:r>
        <w:rPr>
          <w:rFonts w:ascii="Arial" w:cs="Arial" w:eastAsia="Arial" w:hAnsi="Arial"/>
          <w:sz w:val="22"/>
          <w:szCs w:val="22"/>
        </w:rPr>
        <w:t xml:space="preserve">Subsequent to the issue of that memorandum, the client has confirmed that the partial-refund-on-decline mechanism does not reflect product policy. The mechanism appears in the documentation as an artefact of an earlier drafting iteration and is in conflict with the canonical product rule recorded in the client's LOCAL_MARKET_REQUIREMENTS.md §11.1 ("Tuppence balances are non-refundable in cash under any circumstances"). The client's instruction is that Tuppence is non-refundable under any circumstance, with no discretionary, partial or technical-fault-conditional refund mechanism of any kind.</w:t>
      </w:r>
    </w:p>
    <w:p>
      <w:pPr>
        <w:spacing w:after="140" w:before="0" w:line="300"/>
        <w:jc w:val="both"/>
      </w:pPr>
      <w:r>
        <w:rPr>
          <w:rFonts w:ascii="Arial" w:cs="Arial" w:eastAsia="Arial" w:hAnsi="Arial"/>
          <w:sz w:val="22"/>
          <w:szCs w:val="22"/>
        </w:rPr>
        <w:t xml:space="preserve">The documentation in conflict with this rule is to be cleaned up before the provisional patent is lodged. The action plan is recorded in the client's NEXT_SESSION_TUPPENCE_NO_REFUND.md.</w:t>
      </w:r>
    </w:p>
    <w:p>
      <w:pPr>
        <w:pStyle w:val="Heading1"/>
        <w:spacing w:after="140" w:before="240"/>
      </w:pPr>
      <w:r>
        <w:rPr>
          <w:rFonts w:ascii="Arial" w:cs="Arial" w:eastAsia="Arial" w:hAnsi="Arial"/>
          <w:b/>
          <w:bCs/>
          <w:color w:val="C00000"/>
          <w:sz w:val="30"/>
          <w:szCs w:val="30"/>
        </w:rPr>
        <w:t xml:space="preserve">Corrections</w:t>
      </w:r>
    </w:p>
    <w:p>
      <w:pPr>
        <w:pStyle w:val="Heading2"/>
        <w:spacing w:after="100" w:before="200"/>
      </w:pPr>
      <w:r>
        <w:rPr>
          <w:rFonts w:ascii="Arial" w:cs="Arial" w:eastAsia="Arial" w:hAnsi="Arial"/>
          <w:b/>
          <w:bCs/>
          <w:color w:val="1F3864"/>
          <w:sz w:val="24"/>
          <w:szCs w:val="24"/>
        </w:rPr>
        <w:t xml:space="preserve">Correction 1 — Section 5.3 (Banks Act 94 of 1990)</w:t>
      </w:r>
    </w:p>
    <w:p>
      <w:pPr>
        <w:spacing w:after="140" w:before="0" w:line="300"/>
        <w:jc w:val="both"/>
      </w:pPr>
      <w:r>
        <w:rPr>
          <w:rFonts w:ascii="Arial" w:cs="Arial" w:eastAsia="Arial" w:hAnsi="Arial"/>
          <w:sz w:val="22"/>
          <w:szCs w:val="22"/>
        </w:rPr>
        <w:t xml:space="preserve">The original opinion at the end of Section 5.3 read:</w:t>
      </w:r>
    </w:p>
    <w:p>
      <w:pPr>
        <w:spacing w:after="140" w:before="0" w:line="300"/>
        <w:ind w:left="360"/>
        <w:jc w:val="both"/>
      </w:pPr>
      <w:r>
        <w:rPr>
          <w:rFonts w:ascii="Arial" w:cs="Arial" w:eastAsia="Arial" w:hAnsi="Arial"/>
          <w:i/>
          <w:iCs/>
          <w:sz w:val="22"/>
          <w:szCs w:val="22"/>
        </w:rPr>
        <w:t xml:space="preserve">"LOW RISK (but not no risk). The partial-refund mechanism is the load-bearing exposure. Mitigation requires EULA redrafting to characterise the restitution as a discretionary reissuance, not a contractual repayment."</w:t>
      </w:r>
    </w:p>
    <w:p>
      <w:pPr>
        <w:spacing w:after="140" w:before="0" w:line="300"/>
        <w:jc w:val="both"/>
      </w:pPr>
      <w:r>
        <w:rPr>
          <w:rFonts w:ascii="Arial" w:cs="Arial" w:eastAsia="Arial" w:hAnsi="Arial"/>
          <w:sz w:val="22"/>
          <w:szCs w:val="22"/>
        </w:rPr>
        <w:t xml:space="preserve">That opinion is superseded. The corrected opinion reads:</w:t>
      </w:r>
    </w:p>
    <w:p>
      <w:pPr>
        <w:spacing w:after="140" w:line="300"/>
        <w:jc w:val="both"/>
      </w:pPr>
      <w:r>
        <w:rPr>
          <w:rFonts w:ascii="Arial" w:cs="Arial" w:eastAsia="Arial" w:hAnsi="Arial"/>
          <w:b/>
          <w:bCs/>
          <w:sz w:val="22"/>
          <w:szCs w:val="22"/>
        </w:rPr>
        <w:t xml:space="preserve">Corrected opinion: </w:t>
      </w:r>
      <w:r>
        <w:rPr>
          <w:rFonts w:ascii="Arial" w:cs="Arial" w:eastAsia="Arial" w:hAnsi="Arial"/>
          <w:b/>
          <w:bCs/>
          <w:color w:val="548235"/>
          <w:sz w:val="22"/>
          <w:szCs w:val="22"/>
        </w:rPr>
        <w:t xml:space="preserve">NO RISK on the Banks Act 94 of 1990. </w:t>
      </w:r>
      <w:r>
        <w:rPr>
          <w:rFonts w:ascii="Arial" w:cs="Arial" w:eastAsia="Arial" w:hAnsi="Arial"/>
          <w:sz w:val="22"/>
          <w:szCs w:val="22"/>
        </w:rPr>
        <w:t xml:space="preserve">Tuppence is non-refundable under any circumstance. There is no conditional or unconditional repayment of money paid in, and accordingly no element of the statutory definition of "deposit" in section 1 of the Banks Act is engaged. SARB's interpretive practice on closed-loop service credits (issuer is not a bank; redeemable only against identified services of the issuer; no interest; no refund mechanism) is satisfied on every limb. The position is materially stronger than the discretionary-reissuance mitigation proposed in the original memorandum, because no door is left open to argue for a conditional repayment characterisation.</w:t>
      </w:r>
    </w:p>
    <w:p>
      <w:pPr>
        <w:spacing w:after="140" w:before="0" w:line="300"/>
        <w:jc w:val="both"/>
      </w:pPr>
      <w:r>
        <w:rPr>
          <w:rFonts w:ascii="Arial" w:cs="Arial" w:eastAsia="Arial" w:hAnsi="Arial"/>
          <w:sz w:val="22"/>
          <w:szCs w:val="22"/>
        </w:rPr>
        <w:t xml:space="preserve">The structural safeguards listed at Section 5.3 of the original memorandum reduce to four (no longer six), because the refund-characterisation and float-accounting items relating to refunds fall away:</w:t>
      </w:r>
    </w:p>
    <w:p>
      <w:pPr>
        <w:pStyle w:val="ListParagraph"/>
        <w:numPr>
          <w:ilvl w:val="0"/>
          <w:numId w:val="2"/>
        </w:numPr>
        <w:spacing w:after="60" w:line="280"/>
      </w:pPr>
      <w:r>
        <w:rPr>
          <w:rFonts w:ascii="Arial" w:cs="Arial" w:eastAsia="Arial" w:hAnsi="Arial"/>
          <w:sz w:val="22"/>
          <w:szCs w:val="22"/>
        </w:rPr>
        <w:t xml:space="preserve">EULA must expressly state Tuppence is non-refundable in all circumstances, without exception.</w:t>
      </w:r>
    </w:p>
    <w:p>
      <w:pPr>
        <w:pStyle w:val="ListParagraph"/>
        <w:numPr>
          <w:ilvl w:val="0"/>
          <w:numId w:val="2"/>
        </w:numPr>
        <w:spacing w:after="60" w:line="280"/>
      </w:pPr>
      <w:r>
        <w:rPr>
          <w:rFonts w:ascii="Arial" w:cs="Arial" w:eastAsia="Arial" w:hAnsi="Arial"/>
          <w:sz w:val="22"/>
          <w:szCs w:val="22"/>
        </w:rPr>
        <w:t xml:space="preserve">Non-transferability: express prohibition on inter-user transfer (already in scope).</w:t>
      </w:r>
    </w:p>
    <w:p>
      <w:pPr>
        <w:pStyle w:val="ListParagraph"/>
        <w:numPr>
          <w:ilvl w:val="0"/>
          <w:numId w:val="2"/>
        </w:numPr>
        <w:spacing w:after="60" w:line="280"/>
      </w:pPr>
      <w:r>
        <w:rPr>
          <w:rFonts w:ascii="Arial" w:cs="Arial" w:eastAsia="Arial" w:hAnsi="Arial"/>
          <w:sz w:val="22"/>
          <w:szCs w:val="22"/>
        </w:rPr>
        <w:t xml:space="preserve">No interest accrual on Tuppence balances.</w:t>
      </w:r>
    </w:p>
    <w:p>
      <w:pPr>
        <w:pStyle w:val="ListParagraph"/>
        <w:numPr>
          <w:ilvl w:val="0"/>
          <w:numId w:val="2"/>
        </w:numPr>
        <w:spacing w:after="60" w:line="280"/>
      </w:pPr>
      <w:r>
        <w:rPr>
          <w:rFonts w:ascii="Arial" w:cs="Arial" w:eastAsia="Arial" w:hAnsi="Arial"/>
          <w:sz w:val="22"/>
          <w:szCs w:val="22"/>
        </w:rPr>
        <w:t xml:space="preserve">Expiry on 24-month dormancy.</w:t>
      </w:r>
    </w:p>
    <w:p>
      <w:pPr>
        <w:pStyle w:val="Heading2"/>
        <w:spacing w:after="100" w:before="200"/>
      </w:pPr>
      <w:r>
        <w:rPr>
          <w:rFonts w:ascii="Arial" w:cs="Arial" w:eastAsia="Arial" w:hAnsi="Arial"/>
          <w:b/>
          <w:bCs/>
          <w:color w:val="1F3864"/>
          <w:sz w:val="24"/>
          <w:szCs w:val="24"/>
        </w:rPr>
        <w:t xml:space="preserve">Correction 2 — Section 8.2 (amended Claim 2)</w:t>
      </w:r>
    </w:p>
    <w:p>
      <w:pPr>
        <w:spacing w:after="140" w:before="0" w:line="300"/>
        <w:jc w:val="both"/>
      </w:pPr>
      <w:r>
        <w:rPr>
          <w:rFonts w:ascii="Arial" w:cs="Arial" w:eastAsia="Arial" w:hAnsi="Arial"/>
          <w:sz w:val="22"/>
          <w:szCs w:val="22"/>
        </w:rPr>
        <w:t xml:space="preserve">The amended Claim 2 in the original memorandum included a clause (e) reciting "restitution logic configured to ... credit a determined portion of the said decrement amount back to the credit balance of the first user on an express decline state-transition...". Clause (e) must be deleted from the redraft. The corrected amended Claim 2 reads as follows.</w:t>
      </w:r>
    </w:p>
    <w:p>
      <w:pPr>
        <w:spacing w:after="100" w:before="0" w:line="300"/>
        <w:jc w:val="both"/>
      </w:pPr>
      <w:r>
        <w:rPr>
          <w:rFonts w:ascii="Arial" w:cs="Arial" w:eastAsia="Arial" w:hAnsi="Arial"/>
          <w:b/>
          <w:bCs/>
          <w:sz w:val="22"/>
          <w:szCs w:val="22"/>
        </w:rPr>
        <w:t xml:space="preserve">Amended Claim 2 (corrected):</w:t>
      </w:r>
    </w:p>
    <w:p>
      <w:pPr>
        <w:spacing w:after="140" w:before="0" w:line="300"/>
        <w:ind w:left="360"/>
        <w:jc w:val="both"/>
      </w:pPr>
      <w:r>
        <w:rPr>
          <w:rFonts w:ascii="Arial" w:cs="Arial" w:eastAsia="Arial" w:hAnsi="Arial"/>
          <w:sz w:val="22"/>
          <w:szCs w:val="22"/>
        </w:rPr>
        <w:t xml:space="preserve">A computer-implemented introduction-gating mechanism for a marketplace platform, comprising:</w:t>
      </w:r>
    </w:p>
    <w:p>
      <w:pPr>
        <w:spacing w:after="140" w:before="0" w:line="300"/>
        <w:ind w:left="720" w:hanging="240"/>
        <w:jc w:val="both"/>
      </w:pPr>
      <w:r>
        <w:rPr>
          <w:rFonts w:ascii="Arial" w:cs="Arial" w:eastAsia="Arial" w:hAnsi="Arial"/>
          <w:sz w:val="22"/>
          <w:szCs w:val="22"/>
        </w:rPr>
        <w:t xml:space="preserve">(a) a credit-balance data store associating, with each user account, a numerical credit balance denominated in non-monetary platform units;</w:t>
      </w:r>
    </w:p>
    <w:p>
      <w:pPr>
        <w:spacing w:after="140" w:before="0" w:line="300"/>
        <w:ind w:left="720" w:hanging="240"/>
        <w:jc w:val="both"/>
      </w:pPr>
      <w:r>
        <w:rPr>
          <w:rFonts w:ascii="Arial" w:cs="Arial" w:eastAsia="Arial" w:hAnsi="Arial"/>
          <w:sz w:val="22"/>
          <w:szCs w:val="22"/>
        </w:rPr>
        <w:t xml:space="preserve">(b) issuance logic configured to credit the said balance solely in response to an authenticated payment by the user associated with the said balance, the said issuance logic recording an issuance transaction in an immutable audit log;</w:t>
      </w:r>
    </w:p>
    <w:p>
      <w:pPr>
        <w:spacing w:after="140" w:before="0" w:line="300"/>
        <w:ind w:left="720" w:hanging="240"/>
        <w:jc w:val="both"/>
      </w:pPr>
      <w:r>
        <w:rPr>
          <w:rFonts w:ascii="Arial" w:cs="Arial" w:eastAsia="Arial" w:hAnsi="Arial"/>
          <w:sz w:val="22"/>
          <w:szCs w:val="22"/>
        </w:rPr>
        <w:t xml:space="preserve">(c) the platform comprising no application-programming-interface endpoint operable to transfer credit between distinct user accounts, such that the said credit balance is, by absence of mechanism, non-transferable;</w:t>
      </w:r>
    </w:p>
    <w:p>
      <w:pPr>
        <w:spacing w:after="140" w:before="0" w:line="300"/>
        <w:ind w:left="720" w:hanging="240"/>
        <w:jc w:val="both"/>
      </w:pPr>
      <w:r>
        <w:rPr>
          <w:rFonts w:ascii="Arial" w:cs="Arial" w:eastAsia="Arial" w:hAnsi="Arial"/>
          <w:sz w:val="22"/>
          <w:szCs w:val="22"/>
        </w:rPr>
        <w:t xml:space="preserve">(d) an introduction-request endpoint configured to, in response to a request from a first user concerning a second user, atomically (i) compute a predetermined decrement amount, (ii) decrement the credit balance of the first user by the said decrement amount, (iii) record an introduction record in a pending state-transition, and (iv) reject the request and reverse any partial state change in the event that the post-decrement balance would be negative; and</w:t>
      </w:r>
    </w:p>
    <w:p>
      <w:pPr>
        <w:spacing w:after="140" w:before="0" w:line="300"/>
        <w:ind w:left="720" w:hanging="240"/>
        <w:jc w:val="both"/>
      </w:pPr>
      <w:r>
        <w:rPr>
          <w:rFonts w:ascii="Arial" w:cs="Arial" w:eastAsia="Arial" w:hAnsi="Arial"/>
          <w:sz w:val="22"/>
          <w:szCs w:val="22"/>
        </w:rPr>
        <w:t xml:space="preserve">(e) the platform comprising no logic configured to credit the said decrement amount, or any portion thereof, back to the credit balance of the first user, regardless of any subsequent state-transition of the said introduction record, such that the said decrement is irreversible and constitutes consideration for the said pending state-transition.</w:t>
      </w:r>
    </w:p>
    <w:p>
      <w:pPr>
        <w:spacing w:after="140" w:before="200" w:line="300"/>
        <w:jc w:val="both"/>
      </w:pPr>
      <w:r>
        <w:rPr>
          <w:rFonts w:ascii="Arial" w:cs="Arial" w:eastAsia="Arial" w:hAnsi="Arial"/>
          <w:b/>
          <w:bCs/>
          <w:sz w:val="22"/>
          <w:szCs w:val="22"/>
        </w:rPr>
        <w:t xml:space="preserve">Note on novelty argument:</w:t>
      </w:r>
    </w:p>
    <w:p>
      <w:pPr>
        <w:spacing w:after="140" w:before="0" w:line="300"/>
        <w:jc w:val="both"/>
      </w:pPr>
      <w:r>
        <w:rPr>
          <w:rFonts w:ascii="Arial" w:cs="Arial" w:eastAsia="Arial" w:hAnsi="Arial"/>
          <w:sz w:val="22"/>
          <w:szCs w:val="22"/>
        </w:rPr>
        <w:t xml:space="preserve">The original novelty argument against Bark.com and Thumbtack rested on three differentiating features: (i) buyer-side spend (opposite direction to Bark/Thumbtack), (ii) absence of any inter-user transfer endpoint, and (iii) trust score input on the counterparty. The deleted "atomic restitution-on-decline" feature is not load-bearing for the novelty argument — features (i), (ii) and (iii) remain intact and remain distinguishing. The redrafted clause (e) above is in fact a stronger novelty position: a positive recitation that the platform contains no restitution logic at all is more enforceable and harder to design around than the original restitution-with-specific-mechanics formulation.</w:t>
      </w:r>
    </w:p>
    <w:p>
      <w:pPr>
        <w:pStyle w:val="Heading1"/>
        <w:spacing w:after="140" w:before="240"/>
      </w:pPr>
      <w:r>
        <w:rPr>
          <w:rFonts w:ascii="Arial" w:cs="Arial" w:eastAsia="Arial" w:hAnsi="Arial"/>
          <w:b/>
          <w:bCs/>
          <w:color w:val="C00000"/>
          <w:sz w:val="30"/>
          <w:szCs w:val="30"/>
        </w:rPr>
        <w:t xml:space="preserve">Updated novelty rating</w:t>
      </w:r>
    </w:p>
    <w:p>
      <w:pPr>
        <w:spacing w:after="140" w:before="0" w:line="300"/>
        <w:jc w:val="both"/>
      </w:pPr>
      <w:r>
        <w:rPr>
          <w:rFonts w:ascii="Arial" w:cs="Arial" w:eastAsia="Arial" w:hAnsi="Arial"/>
          <w:sz w:val="22"/>
          <w:szCs w:val="22"/>
        </w:rPr>
        <w:t xml:space="preserve">On the corrected claim language above, the prior-art rating for Claim 2 in Section 3 of the original memorandum is revised from WEAK to MODERATE. The Bark / Thumbtack overlap is no longer mitigated by a positive distinguishing feature (restitution) but by an absence — the platform's affirmative refusal to refund. This is novel against every prior-art platform reviewed (none of which refuse refunds as an architectural commitment; all either provide refunds or are silent).</w:t>
      </w:r>
    </w:p>
    <w:p>
      <w:pPr>
        <w:pStyle w:val="Heading1"/>
        <w:spacing w:after="140" w:before="240"/>
      </w:pPr>
      <w:r>
        <w:rPr>
          <w:rFonts w:ascii="Arial" w:cs="Arial" w:eastAsia="Arial" w:hAnsi="Arial"/>
          <w:b/>
          <w:bCs/>
          <w:color w:val="C00000"/>
          <w:sz w:val="30"/>
          <w:szCs w:val="30"/>
        </w:rPr>
        <w:t xml:space="preserve">Updated pre-filing priorities</w:t>
      </w:r>
    </w:p>
    <w:p>
      <w:pPr>
        <w:spacing w:after="140" w:before="0" w:line="300"/>
        <w:jc w:val="both"/>
      </w:pPr>
      <w:r>
        <w:rPr>
          <w:rFonts w:ascii="Arial" w:cs="Arial" w:eastAsia="Arial" w:hAnsi="Arial"/>
          <w:sz w:val="22"/>
          <w:szCs w:val="22"/>
        </w:rPr>
        <w:t xml:space="preserve">Of the three highest-priority actions in Section 10 of the original memorandum, action (3) is restated as follows:</w:t>
      </w:r>
    </w:p>
    <w:p>
      <w:pPr>
        <w:spacing w:after="140" w:before="0" w:line="300"/>
        <w:ind w:left="360"/>
        <w:jc w:val="both"/>
      </w:pPr>
      <w:r>
        <w:rPr>
          <w:rFonts w:ascii="Arial" w:cs="Arial" w:eastAsia="Arial" w:hAnsi="Arial"/>
          <w:sz w:val="22"/>
          <w:szCs w:val="22"/>
        </w:rPr>
        <w:t xml:space="preserve">(3, corrected) Update the EULA, whitepaper and buyer-facing application to remove every reference to refund, restitution, or reissuance of Tuppence. The canonical statement to be propagated everywhere is that Tuppence is non-refundable in all circumstances. The cleanup is non-discretionary and must be complete before the provisional patent is lodged. The action plan is in NEXT_SESSION_TUPPENCE_NO_REFUND.md.</w:t>
      </w:r>
    </w:p>
    <w:p>
      <w:pPr>
        <w:spacing w:after="140" w:before="240" w:line="300"/>
        <w:jc w:val="center"/>
      </w:pPr>
      <w:r>
        <w:rPr>
          <w:rFonts w:ascii="Arial" w:cs="Arial" w:eastAsia="Arial" w:hAnsi="Arial"/>
          <w:i/>
          <w:iCs/>
          <w:sz w:val="22"/>
          <w:szCs w:val="22"/>
        </w:rPr>
        <w:t xml:space="preserve">— Ends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TrustSquare Pre-Filing Memorandum Erratum — 12 May 2026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Privileged &amp; Confidential — Erratum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C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Erratum to TrustSquare Pre-Filing Patent Consultation Memorandum</dc:title>
  <dc:creator>Senior Patent Counsel</dc:creator>
  <cp:lastModifiedBy>Un-named</cp:lastModifiedBy>
  <cp:revision>1</cp:revision>
  <dcterms:created xsi:type="dcterms:W3CDTF">2026-05-12T17:59:29.822Z</dcterms:created>
  <dcterms:modified xsi:type="dcterms:W3CDTF">2026-05-12T17:59:29.822Z</dcterms:modified>
</cp:coreProperties>
</file>

<file path=docProps/custom.xml><?xml version="1.0" encoding="utf-8"?>
<Properties xmlns="http://schemas.openxmlformats.org/officeDocument/2006/custom-properties" xmlns:vt="http://schemas.openxmlformats.org/officeDocument/2006/docPropsVTypes"/>
</file>