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TrustSquare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Unified Participation Marketplace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Technical Whitepaper v3.2  —  Provisional Patent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Updated: May 2026  |  Trustsquare (Pty) Ltd  |  Reg 2026/340128/07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CONFIDENTIAL — Prior Art Disclosure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2E75B6" w:sz="8"/>
              <w:bottom w:val="single" w:color="CCCCCC" w:sz="1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History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v3.0 (April 2026): Initial provisional patent document  |  v3.1 (May 2026): Heritage layer, Claim 8  |  v3.2 (May 2026): Subscription tier redesign (5 tiers), AI Services revenue stream, AI guardrail architecture, spend register, infrastructure upgrade to CPX32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TrustSquare is a mobile-first, privacy-preserving marketplace that enables buyers and sellers to transact anonymously until both parties consent to introduction. The platform introduces a novel participation currency (Tuppence) that functions simultaneously as a buyer commitment signal, a spam filter, and a seller quality metric. The Unified Participation Model — wherein every user is both a potential buyer and a potential seller — is the core patentable innovation.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constitutes a prior art disclosure and supports a CIPRO provisional patent application. All described methods, systems, and database schemas were conceived, designed, and implemented by TrustSquare (Pty) Ltd.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is live at trustsquare.co (BEA v1.3.4) with 56 live listings across Pretoria, South Africa, operating on a Hetzner CPX32 server.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Existing marketplace platforms suffer from three structural deficiencies: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Asymmetric trust: buyers know who they are contacting; sellers receive cold inquiries with no quality signal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Advertising dependency: seller visibility is proportional to advertising spend, not competence or reputation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Identity exposure: sellers must publish personal contact details to be discoverable, creating phishing and spam surface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existing platform addresses all three simultaneously without reducing either buyer reach or seller discoverability.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Technical Innovation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Unified Participation Model — Database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innovation is a single-table user model where role is not a column — it is a state derived from the user's activity: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user with no listings and Tuppence balance &gt; 0 is operating as a buyer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user with at least one published listing is a seller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same user may be both simultaneously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users(id, email, name, tuppence_balance, trust_score, subscription_tier, slot_limit, photo_url, created_at)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listings(id, seller_email, category, city_id, suburb_id, status, trust_score)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introductions(id, buyer_email, listing_id, tuppence_cost, status, created_at)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tuppence_ledger(id, user_email, delta, reason, ref_id, created_at)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ai_spend_log(id, email, endpoint, model, est_cost_usd, logged_at)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ai_spend_config(id, monthly_income_usd, alert_threshold_pct, alert_email, last_alerted_at)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schema is unique: role emergence from transaction state (not schema column) is not implemented in any known prior art marketplace platform.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Tuppence Micro-Currency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Tuppence is a non-transferable platform credit (1T = USD $2) with the following properties: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Purchased in bundles by buyers; cannot be withdrawn as cash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Burned on introduction request; non-refundable under any circumstance. Buyer commitment signal is the price of contact.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Seller trust score is partially derived from introduction acceptance rate, creating a quality feedback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marginal cost to issue; no regulatory classification as financial instrument in ZA jurisdiction (confirmed via Banks Act 94 of 1990 analysis — see Erratum 2026-05-12)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Anonymous Introduction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introduction flow: (1) buyer browses anonymised seller profiles (no email, phone, or surname visible); (2) buyer spends Tuppence to request introduction; (3) seller receives pseudonymised buyer summary; (4) seller accepts or declines; (5) on acceptance, both parties receive each other's contact details simultaneously. Neither party's contact information is ever stored in the other's device prior to mutual consent.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Trust Score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Trust Score (0–100) is a weighted composite: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Verified credentials submitted and reviewed (30%)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Completed introductions / total introductions accepted (25%)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buyer rating post-introduction (25%)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Response rate to introduction requests (10%)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Account tenure (10%)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score is calculated server-side and cannot be self-reported or self-modified by the seller.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Subscription Tier Architecture (Updated v3.2)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TrustSquare operates a five-tier subscription model replacing the previous three-tier Free/Starter/International structure. The new model ties listing slot limits to tier, enforced at publish time by the BEA: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Suburb-level visibility. No credit card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City-level visibility. Suited to individual sellers.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+ region visibility. Suited to active agents.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Country-level visibility. Estate agencies.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visibility. Portfolio landlords, franchises.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Downgrade rules: downgrades are queued to end-of-billing-period. A seller cannot downgrade to a tier whose slot limit is lower than their current active listing count. Slot enforcement is performed server-side at publish time — the BEA rejects publish attempts that would exceed the tier limit.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Tuppence per-introduction cost is architecturally separate from listing slot cost and is never combined with subscription pricing.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AI Services Layer (New in v3.2)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TrustSquare operates a suite of AI-powered services accessible to registered sellers and buyers via Tuppence micro-payments. This constitutes a third revenue stream alongside subscriptions and introductions.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32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Listing Rewrite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Rewrites title + description in current market language (Haiku)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Seller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"Why am I not getting intros?" — 3 specific improvement actions (Haiku)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"Is this a fair price?" — market comparison for buyer (Sonnet)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Yield Calculator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Gross/net yield, suburb benchmark, investment verdict (Haiku)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Card Listings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Vision AI identifies up to 20 collector cards, creates draft listings (Sonnet Vision)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Coin Listings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Coin-aware vision: denomination, mint year, condition, SA numismatic value (Sonnet Vision)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Portfolio Import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uploads PDF/photo set → AI extracts properties → draft listings (Sonnet Vision)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Timestamped event log per listing — no AI cost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Statement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Accountant-ready PDF/CSV for date range (ReportLab)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1T*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monthly performance email via n8n (*free on paid tiers)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AI Guardrail Architecture (New in v3.2)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AI endpoints are protected by an existence gate: an indexed database lookup confirms the requesting email corresponds to a registered user before any Anthropic API call is made. Unknown emails receive HTTP 401. The gate adds approximately 0.1ms latency and has no user-visible impact for legitimate registered users.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non-blocking spend register records every AI call (email, endpoint, model, estimated cost in USD) via a FastAPI BackgroundTasks task. An income-linked threshold alert fires a notification webhook when monthly AI spend exceeds a configurable percentage of monthly platform income. The alert fires at most once per day and never blocks or throttles any user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Existence gate: stops anonymous scripted abuse without rate limiting or per-user counters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Spend register: ai_spend_log table + ai_spend_config singleton (income, threshold %, alert contact)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trigger: N8N_WEBHOOK_AI_ALERT fires when spend/income ratio crosses threshold — informational only, no auto-cutoff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3.8 World Heritage Content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120 UNESCO and national heritage sites are linked to the platform via a structured content layer. Sellers may link up to 5 heritage sites to their listing. Heritage site detail (photos, description, history) is served from Wikimedia Commons under CC/Public Domain licence. No heritage content is transactional.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Patent Claims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2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Unified Participation Model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derived from transaction state, not database column. Single user table; buyer/seller status emerges from activity.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Tuppence Introduction Currency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Non-transferable, non-refundable commitment signal. Functions simultaneously as spam filter, commitment signal, and seller quality input.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Anonymous Introduction Protocol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PII transmitted until bilateral simultaneous consent. Seller identity withheld until mutual acceptance.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 Score Composite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Server-computed from verifiable data only; no self-reporting. Weighted across credentials, track record, response rate, tenure.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Geo-Hierarchical Visibility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4-level hierarchy (Country → Region → City → Suburb) gated by subscription tier.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Founding Seller Cohort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priority placement as launch incentive — recorded in perpetuity on each founding seller's profile.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Combination Claim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 1–6 operating as an integrated platform — the combination is non-obvious even where individual elements may not be.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Heritage Content Linking (dependent on Claim 1)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Seller-linked UNESCO/heritage site metadata integrated into listing context; informational overlay on anonymous marketplace listing.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Three-Stream Revenue Model (New in v3.2)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TrustSquare generates revenue across three independent streams: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Y1 Mix (est.)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~68%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 tiers ($0–$100/mo). Recurring monthly. Slot-limited.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Introductions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~18%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Tuppence ($2) per accepted introduction. Charged to buyer on acceptance.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~14%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Tuppence-gated. Per-call micro-payments. Grows with seller adoption.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Projected Year 1 total revenue: $235,154 at ~96% operating margin. Year 3 projection: $3.88M. AI services revenue is structurally high-margin — Anthropic API cost averages $0.015–$0.04 per call against $2.00 per Tuppence charged.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Competitive Differentiation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existing marketplace platform combines: (i) permanent seller anonymity until mutual agreement; (ii) structurally non-refundable buyer commitment prior to identity disclosure; (iii) a platform-computed trust signal as the primary pre-commitment evaluation mechanism; (iv) seller discretion to accept or decline each introduction individually; and (v) AI-powered listing services gated by the same commitment currency.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Initial target: South Africa (property agents, domestic services, professional services). Expansion: city-by-city rollout using CityLauncher recruitment tool. Wave 1 cities: New York, London, Sydney.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Infrastructure &amp; Security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Current Stack (BEA v1.3.4 — May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 · Hetzner CPX32 (8GB RAM, 4 vCPU, 160GB NVMe) · Ubuntu 24.04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WAL mode · 11 tables · 7 indexes · daily R2 backups · 14-day retention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 (EU) · zero egress cost · local mirror on Hetzner disk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100GB Hetzner independent block storage · used for Overpass OSM DB (39GB)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· claude-haiku-4-5 + claude-sonnet-4-6 · existence-gated · spend-logged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(Docker) · email workflows · spend alert webhooks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DNS/CDN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· DDoS protection · cache purge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· auto-renew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Paystack (ZA) · test mode · live mode pending CIPC registration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Security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Authentication: Magic link (no password storage); email-based listing edit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guardrail: Existence gate on all AI endpoints — registered email required before any Anthropic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Spend monitoring: Non-blocking spend register with income-linked threshold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API: Rate limiting on all endpoints; request signing for sensitive mutations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DMARC + DKIM + SPF on all sending domains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Data: No PII transmitted until bilateral consent; seller email never exposed in API responses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Business Model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Buyer revenue: Tuppence bundle purchases (1T = $2 USD) for introductions and AI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Seller revenue: Subscription tiers ($0–$100/month, 5 tiers, slot-limited)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services revenue: Per-call Tuppence micro-payments for AI listing, audit, and analysis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advertising revenue. No commission on transactions. No data sales.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Merchant of Record (Paddle/Stripe) for international buyers. SA buyers via Paystack.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Agent — the FastAPI application (bea_main.py)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Agent — the single-page buyer app (marketsquare.html)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Tuppence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introduction and AI service currency (1T = $2 USD)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buyer-initiated contact request, paid in Tuppence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seller reputation metric (0–100), server-computed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Founding Seller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of the initial 60-seller cohort for a given 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CityLauncher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Recruitment microsite for seller onboarding by 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Existence 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Indexed DB lookup confirming registered email before any AI API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Spend Register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ai_spend_log table + ai_spend_config singleton tracking AI cost vs. income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Slot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number of active listings permitted per subscription tier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Trademark &amp; Provisional Patent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Trademark Filing — CIPRO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TrustSquare™ to be filed at CIPRO under Nice Classification: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 35: Advertising; business management; business administration; online marketplace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 36: Financial services; electronic payment services; digital currency exchange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 42: Scientific and technological services; software as a service; platform as a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Madrid Protocol filing to follow within 12 months for international coverage (UK, EU, USA, Kenya, Nigeria).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Provisional Patent — Filing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 with CIPRO on Day 0 (launch day). 8 claims form the basis of the provisional application (see Section 4). Pre-filing consultation memorandum and erratum completed May 2026 — available for instructed attorney review. Counsel firms: Adams &amp; Adams (Pretoria), Spoor &amp; Fisher (Pretoria), Bowmans (Johannesburg).</w:t>
      </w:r>
    </w:p>
    <w:p>
      <w:r>
        <w:t xml:space="preserve"/>
      </w:r>
    </w:p>
    <w:p>
      <w:pPr>
        <w:pBdr>
          <w:top w:val="single" w:color="CCCCCC" w:sz="4" w:space="8"/>
        </w:pBdr>
        <w:spacing w:before="40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TrustSquare (Pty) Ltd  |  Reg 2026/340128/07  |  trustsquare.co  |  Director: David Maurice Conradie</w:t>
      </w:r>
    </w:p>
    <w:p>
      <w:pPr>
        <w:jc w:val="center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CONFIDENTIAL — Prior Art Disclosure  |  Not for public distribution until after provisional patent filing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08080"/>
        <w:sz w:val="18"/>
        <w:szCs w:val="18"/>
      </w:rPr>
      <w:t xml:space="preserve">TrustSquare — Technical Whitepaper v3.2</w:t>
    </w:r>
    <w:r>
      <w:rPr>
        <w:rFonts w:ascii="Arial" w:cs="Arial" w:eastAsia="Arial" w:hAnsi="Arial"/>
        <w:color w:val="808080"/>
        <w:sz w:val="18"/>
        <w:szCs w:val="18"/>
      </w:rPr>
      <w:t xml:space="preserve">   |   CONFIDENTIAL — Prior Art Disclosure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2026-05-29T00:29:57.513Z</dcterms:created>
  <dcterms:modified xsi:type="dcterms:W3CDTF">2026-05-29T00:29:57.513Z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