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E5A88"/>
          <w:sz w:val="40"/>
        </w:rPr>
        <w:t>TrustSquare</w:t>
      </w:r>
    </w:p>
    <w:p>
      <w:pPr>
        <w:spacing w:after="40"/>
      </w:pPr>
      <w:r>
        <w:rPr>
          <w:b w:val="0"/>
          <w:i w:val="0"/>
          <w:sz w:val="20"/>
        </w:rPr>
        <w:t>Trustsquare (Pty) Ltd  -  Reg 2026/340128/07</w:t>
      </w:r>
    </w:p>
    <w:p>
      <w:pPr>
        <w:spacing w:after="40"/>
      </w:pPr>
      <w:r>
        <w:rPr>
          <w:b w:val="0"/>
          <w:i w:val="0"/>
          <w:sz w:val="20"/>
        </w:rPr>
        <w:t>Director: David Maurice Conradie</w:t>
      </w:r>
    </w:p>
    <w:p>
      <w:pPr>
        <w:spacing w:after="40"/>
      </w:pPr>
      <w:r>
        <w:rPr>
          <w:b/>
          <w:i w:val="0"/>
          <w:sz w:val="26"/>
        </w:rPr>
        <w:t>IP Brief v4  —  Patent Claim Language</w:t>
      </w:r>
    </w:p>
    <w:p>
      <w:pPr>
        <w:spacing w:after="40"/>
      </w:pPr>
      <w:r>
        <w:rPr>
          <w:b w:val="0"/>
          <w:i/>
          <w:sz w:val="21"/>
        </w:rPr>
        <w:t>For review by patent counsel — South African and PCT provisional filing</w:t>
      </w:r>
    </w:p>
    <w:p>
      <w:pPr>
        <w:spacing w:after="80"/>
      </w:pPr>
      <w:r>
        <w:rPr>
          <w:b w:val="0"/>
          <w:i w:val="0"/>
          <w:sz w:val="20"/>
        </w:rPr>
        <w:t>May 2026  -  Version 4  -  Confidential</w:t>
      </w:r>
    </w:p>
    <w:p>
      <w:pPr>
        <w:spacing w:after="160"/>
      </w:pPr>
      <w:r>
        <w:rPr>
          <w:b/>
          <w:i w:val="0"/>
          <w:color w:val="2E5A88"/>
          <w:sz w:val="20"/>
        </w:rPr>
        <w:t>PRIVILEGED AND CONFIDENTIAL — ATTORNEY-CLIENT MATERIAL</w:t>
      </w:r>
    </w:p>
    <w:p>
      <w:pPr>
        <w:pStyle w:val="Heading1"/>
      </w:pPr>
      <w:r>
        <w:t>1. Platform Overview</w:t>
      </w:r>
    </w:p>
    <w:p>
      <w:pPr>
        <w:spacing w:after="160"/>
      </w:pPr>
      <w:r>
        <w:rPr>
          <w:b w:val="0"/>
          <w:i w:val="0"/>
          <w:sz w:val="21"/>
        </w:rPr>
        <w:t>TrustSquare is a mobile-first anonymous marketplace platform connecting buyers with verified anonymous sellers through a non-refundable introduction currency called Tuppence. The platform operates exclusively as an introduction intermediary — it does not conclude transactions, hold client funds beyond the Tuppence introduction currency, provide financial advice, or act as a financial intermediary under FAIS or any other regulatory framework.</w:t>
      </w:r>
    </w:p>
    <w:p>
      <w:pPr>
        <w:spacing w:after="160"/>
      </w:pPr>
      <w:r>
        <w:rPr>
          <w:b w:val="0"/>
          <w:i w:val="0"/>
          <w:sz w:val="21"/>
        </w:rPr>
        <w:t>The platform is live at trustsquare.co (BEA v1.3.4) and is registered as Trustsquare (Pty) Ltd, Reg 2026/340128/07, South Africa. 56 live listings are active as of May 2026, across Pretoria, South Africa.</w:t>
      </w:r>
    </w:p>
    <w:p>
      <w:pPr>
        <w:spacing w:after="160"/>
      </w:pPr>
      <w:r>
        <w:rPr>
          <w:b w:val="0"/>
          <w:i w:val="0"/>
          <w:sz w:val="21"/>
        </w:rPr>
        <w:t>Three independent revenue streams operate: (1) subscription tiers ($0-$100/month, five tiers, slot-gated); (2) Tuppence introduction fees ($2 per accepted introduction); (3) AI services micro-payments (1-3 Tuppence per AI call). Tuppence per-introduction cost is architecturally separate from subscription pricing and is never combined with tier pricing.</w:t>
      </w:r>
    </w:p>
    <w:p>
      <w:pPr>
        <w:spacing w:after="160"/>
      </w:pPr>
      <w:r>
        <w:rPr>
          <w:b/>
          <w:i w:val="0"/>
          <w:sz w:val="21"/>
        </w:rPr>
        <w:t>As of Session 94 (May 2026) the platform additionally operates an AI-mediated inbound email triage and support-response system (Claim 9, below), extending the platform's AI-services and AI-guardrail architecture to autonomous customer-communication handling.</w:t>
      </w:r>
    </w:p>
    <w:p>
      <w:pPr>
        <w:pStyle w:val="Heading1"/>
      </w:pPr>
      <w:r>
        <w:t>2. Core Claim — Commitment-Gated Anonymous Introduction</w:t>
      </w:r>
    </w:p>
    <w:p>
      <w:pPr>
        <w:pStyle w:val="Heading2"/>
      </w:pPr>
      <w:r>
        <w:t>2.1 Background</w:t>
      </w:r>
    </w:p>
    <w:p>
      <w:pPr>
        <w:spacing w:after="160"/>
      </w:pPr>
      <w:r>
        <w:rPr>
          <w:b w:val="0"/>
          <w:i w:val="0"/>
          <w:sz w:val="21"/>
        </w:rPr>
        <w:t>Existing marketplace platforms disclose seller identity and contact details either freely or upon registration. None employ a mechanism that requires a buyer to make an irreversible commitment signal — surrendering a non-refundable unit of value — before any identifying information about the seller is disclosed. The result is a high volume of low-quality, uncommitted inquiries that burden sellers and degrade the marketplace experience.</w:t>
      </w:r>
    </w:p>
    <w:p>
      <w:pPr>
        <w:pStyle w:val="Heading2"/>
      </w:pPr>
      <w:r>
        <w:t>2.2 Claim Language</w:t>
      </w:r>
    </w:p>
    <w:p>
      <w:pPr>
        <w:spacing w:after="160"/>
      </w:pPr>
      <w:r>
        <w:rPr>
          <w:b w:val="0"/>
          <w:i w:val="0"/>
          <w:sz w:val="21"/>
        </w:rPr>
        <w:t>A method for facilitating anonymous commercial introductions between buyers and sellers on a digital marketplace platform, comprising:</w:t>
      </w: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Element 1 — Seller Anonymity Preservation</w:t>
            </w:r>
          </w:p>
          <w:p>
            <w:pPr>
              <w:spacing w:after="80"/>
            </w:pPr>
            <w:r>
              <w:rPr>
                <w:sz w:val="21"/>
              </w:rPr>
              <w:t>A seller registration and listing system wherein the seller's identity, contact details, and location are withheld from all buyers at all times prior to a mutually accepted introduction. The platform assigns a verified Trust Score to each seller based on credentials, completed introductions, response rate, and buyer ratings. The Trust Score is displayed to buyers in lieu of identifying information.</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Element 2 — Non-Refundable Introduction Currency</w:t>
            </w:r>
          </w:p>
          <w:p>
            <w:pPr>
              <w:spacing w:after="80"/>
            </w:pPr>
            <w:r>
              <w:rPr>
                <w:sz w:val="21"/>
              </w:rPr>
              <w:t>A platform-native currency unit (Tuppence, 1T = USD $2) which buyers acquire through a payment mechanism and which is consumed, without refund or recovery under any circumstances, at the moment a buyer initiates an introduction request to a seller. The non-refundability is structurally enforced — it is not a policy choice but an architectural property of the currency system. This irreversibility constitutes a commitment signal that is visible to the seller prior to accepting or declining the introduction. [Banks Act 94 of 1990 risk: confirmed NO RISK — see Erratum 2026-05-12]</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Element 2A — Distinction from Referral / Commission Fees (express limitation)</w:t>
            </w:r>
          </w:p>
          <w:p>
            <w:pPr>
              <w:spacing w:after="80"/>
            </w:pPr>
            <w:r>
              <w:rPr>
                <w:sz w:val="21"/>
              </w:rPr>
              <w:t>The introduction charge is, on every structural axis, the inverse of a referral fee, finder's fee, or sales commission, and the claim is to be construed accordingly: (i) it is paid by the BUYER, not the seller; (ii) it is a FIXED unit of value that is in no way a percentage of, or otherwise scaled to, the price, transaction value, or any consideration passing between the parties; (iii) it is consumed BEFORE any introduction occurs — at the moment the request is made — and is therefore DECOUPLED from whether any transaction is ever concluded; (iv) it is NON-REFUNDABLE regardless of outcome, including where the seller declines, where no deal results, or where the parties never communicate again; and (v) it is paid BLIND, into a state of mutual anonymity, before the buyer knows the seller's identity. A referral/commission arrangement exhibits none of these properties (seller-paid, transaction-contingent, proportional to value, paid on or after a concluded deal, referrer known). The anonymity of Claim Element 1 and the non-refundable pre-introduction commitment of this element are mutually reinforcing and inseparable: the charge is novel because it is spent blind, and the anonymity has commercial force because it is gated by an irreversible commitment.</w:t>
            </w:r>
          </w:p>
          <w:p>
            <w:pPr>
              <w:spacing w:after="80"/>
            </w:pPr>
            <w:r>
              <w:rPr>
                <w:sz w:val="21"/>
              </w:rPr>
              <w:t>The strict non-refundability and the fixed (non-proportional) character of the charge are load-bearing for novelty and must not be softened, qualified, or made contingent on transaction outcome in any drafted version of this claim.</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Element 3 — Commitment-Gated Identity Disclosure</w:t>
            </w:r>
          </w:p>
          <w:p>
            <w:pPr>
              <w:spacing w:after="80"/>
            </w:pPr>
            <w:r>
              <w:rPr>
                <w:sz w:val="21"/>
              </w:rPr>
              <w:t>The seller's identifying information is disclosed to the buyer only upon the seller's affirmative acceptance of the introduction request. Neither party's identity is disclosed to the other prior to mutual agreement.</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Element 4 — Trust Score-Mediated Matching</w:t>
            </w:r>
          </w:p>
          <w:p>
            <w:pPr>
              <w:spacing w:after="80"/>
            </w:pPr>
            <w:r>
              <w:rPr>
                <w:sz w:val="21"/>
              </w:rPr>
              <w:t>The platform surfaces seller Trust Scores as the primary buyer-facing evaluation signal prior to committing Tuppence. The Trust Score is computed from verifiable, platform-observed data and is not self-reported by the seller.</w:t>
            </w:r>
          </w:p>
        </w:tc>
      </w:tr>
    </w:tbl>
    <w:p>
      <w:pPr>
        <w:spacing w:after="40"/>
      </w:pPr>
    </w:p>
    <w:p>
      <w:pPr>
        <w:spacing w:after="160"/>
      </w:pPr>
      <w:r>
        <w:rPr>
          <w:b/>
          <w:sz w:val="21"/>
        </w:rPr>
        <w:t xml:space="preserve">Novelty statement: </w:t>
      </w:r>
      <w:r>
        <w:rPr>
          <w:b w:val="0"/>
          <w:sz w:val="21"/>
        </w:rPr>
        <w:t>No existing marketplace platform combines (i) permanent seller anonymity until mutual agreement; (ii) structurally non-refundable buyer commitment prior to identity disclosure; (iii) a platform-computed trust signal as the primary pre-commitment evaluation mechanism; and (iv) seller discretion to accept or decline each introduction individually.</w:t>
      </w:r>
    </w:p>
    <w:p>
      <w:r>
        <w:br w:type="page"/>
      </w:r>
    </w:p>
    <w:p>
      <w:pPr>
        <w:pStyle w:val="Heading1"/>
      </w:pPr>
      <w:r>
        <w:t>3. Full Claim Schedule (9 Claims)</w:t>
      </w:r>
    </w:p>
    <w:p>
      <w:pPr>
        <w:spacing w:after="160"/>
      </w:pPr>
      <w:r>
        <w:rPr>
          <w:b w:val="0"/>
          <w:i/>
          <w:sz w:val="21"/>
        </w:rPr>
        <w:t>Claims 1-8 are unchanged from IP Brief v3 in substance, with two refinements in v4: Claim 2 now carries an express referral/commission distinction (Element 2A), and Claim 8 is reframed so the method, not the catalogue size, is the claim. Claim 9 is new in v4 and documents the AI email triage / autonomous support-response method shipped in Session 94.</w:t>
      </w: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1: Unified Participation Model</w:t>
            </w:r>
            <w:r>
              <w:rPr>
                <w:b/>
                <w:color w:val="2E5A88"/>
                <w:sz w:val="21"/>
              </w:rPr>
              <w:t xml:space="preserve">   [STRONG]</w:t>
            </w:r>
          </w:p>
          <w:p>
            <w:pPr>
              <w:spacing w:after="80"/>
            </w:pPr>
            <w:r>
              <w:rPr>
                <w:sz w:val="21"/>
              </w:rPr>
              <w:t>Role derived from transaction state, not database column. A single-table user model where buyer/seller status is a state derived from activity (listings published, Tuppence balance held), not a schema column. The same user may hold both roles simultaneously. Schema: users(id, email, name, tuppence_balance, trust_score, subscription_tier, slot_limit, photo_url, created_at).</w:t>
            </w:r>
          </w:p>
          <w:p>
            <w:pPr>
              <w:spacing w:after="80"/>
            </w:pPr>
            <w:r>
              <w:rPr>
                <w:sz w:val="21"/>
              </w:rPr>
              <w:t>Novelty: No existing marketplace platform implements role emergence from transaction state. All known prior art (eBay, Gumtree, Facebook Marketplace, Airbnb) uses explicit role columns or separate tables.</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2: Tuppence Introduction Currency</w:t>
            </w:r>
            <w:r>
              <w:rPr>
                <w:b/>
                <w:color w:val="2E5A88"/>
                <w:sz w:val="21"/>
              </w:rPr>
              <w:t xml:space="preserve">   [STRONG]</w:t>
            </w:r>
          </w:p>
          <w:p>
            <w:pPr>
              <w:spacing w:after="80"/>
            </w:pPr>
            <w:r>
              <w:rPr>
                <w:sz w:val="21"/>
              </w:rPr>
              <w:t>Non-transferable, non-refundable commitment signal (1T = $2 USD). Functions simultaneously as: (a) spam filter — cost screens uncommitted buyers; (b) commitment signal — irreversibility visible to seller before acceptance; (c) seller quality input — introduction acceptance rate feeds Trust Score. Cannot be withdrawn as cash. No regulatory classification as financial instrument (Banks Act 94 of 1990: confirmed NO RISK — closed-loop service credit, no repayment mechanism).</w:t>
            </w:r>
          </w:p>
          <w:p>
            <w:pPr>
              <w:spacing w:after="80"/>
            </w:pPr>
            <w:r>
              <w:rPr>
                <w:sz w:val="21"/>
              </w:rPr>
              <w:t>Express limitation (see Claim Element 2A): the charge is buyer-paid, fixed (never a percentage of price/value), consumed before any introduction, outcome-independent, non-refundable, and paid blind into mutual anonymity — the structural inverse of a referral/commission fee on every axis. Non-refundability and fixed character are load-bearing and must not be softened.</w:t>
            </w:r>
          </w:p>
          <w:p>
            <w:pPr>
              <w:spacing w:after="80"/>
            </w:pPr>
            <w:r>
              <w:rPr>
                <w:sz w:val="21"/>
              </w:rPr>
              <w:t>Novelty: No known platform uses a non-refundable, fixed, buyer-paid, pre-introduction currency unit — spent blind into anonymity and decoupled from transaction outcome — simultaneously as spam filter, commitment signal, and seller quality metric input. This is categorically distinct from referral/commission models.</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3: Anonymous Introduction Protocol</w:t>
            </w:r>
            <w:r>
              <w:rPr>
                <w:b/>
                <w:color w:val="2E5A88"/>
                <w:sz w:val="21"/>
              </w:rPr>
              <w:t xml:space="preserve">   [STRONG]</w:t>
            </w:r>
          </w:p>
          <w:p>
            <w:pPr>
              <w:spacing w:after="80"/>
            </w:pPr>
            <w:r>
              <w:rPr>
                <w:sz w:val="21"/>
              </w:rPr>
              <w:t>No PII transmitted until bilateral simultaneous consent. Protocol: (1) buyer browses anonymised profiles; (2) buyer spends Tuppence to request introduction; (3) seller receives pseudonymised buyer summary; (4) seller accepts or declines; (5) on acceptance, both parties receive contact details simultaneously. Contact details are never stored in either party's device prior to mutual consent.</w:t>
            </w:r>
          </w:p>
          <w:p>
            <w:pPr>
              <w:spacing w:after="80"/>
            </w:pPr>
            <w:r>
              <w:rPr>
                <w:sz w:val="21"/>
              </w:rPr>
              <w:t>Novelty: Combination of commitment gate + bilateral simultaneous disclosure is not implemented in any known prior art.</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4: Trust Score Composite</w:t>
            </w:r>
            <w:r>
              <w:rPr>
                <w:b/>
                <w:color w:val="2E5A88"/>
                <w:sz w:val="21"/>
              </w:rPr>
              <w:t xml:space="preserve">   [SOLID]</w:t>
            </w:r>
          </w:p>
          <w:p>
            <w:pPr>
              <w:spacing w:after="80"/>
            </w:pPr>
            <w:r>
              <w:rPr>
                <w:sz w:val="21"/>
              </w:rPr>
              <w:t>Server-computed composite metric (0-100). Components: verified credentials (30%), completed introductions vs. accepted (25%), average buyer rating (25%), response rate (10%), account tenure (10%). Cannot be self-reported or self-modified. Penalties for ignoring introductions (Trust Score -5 commitment / -3 queue). No Tuppence deducted as penalty (Principle A8).</w:t>
            </w:r>
          </w:p>
          <w:p>
            <w:pPr>
              <w:spacing w:after="80"/>
            </w:pPr>
            <w:r>
              <w:rPr>
                <w:sz w:val="21"/>
              </w:rPr>
              <w:t>Novelty: Server-computed trust from platform-observed behavioural data, not self-report, is not standard in marketplace prior art.</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5: Geo-Hierarchical Visibility Gating</w:t>
            </w:r>
            <w:r>
              <w:rPr>
                <w:b/>
                <w:color w:val="2E5A88"/>
                <w:sz w:val="21"/>
              </w:rPr>
              <w:t xml:space="preserve">   [SOLID]</w:t>
            </w:r>
          </w:p>
          <w:p>
            <w:pPr>
              <w:spacing w:after="80"/>
            </w:pPr>
            <w:r>
              <w:rPr>
                <w:sz w:val="21"/>
              </w:rPr>
              <w:t>4-level geographic hierarchy (Country - Region - City - Suburb). Listing visibility is gated by seller subscription tier: Free tier = suburb-level only; Standard = city-level; Professional = region-level; Business/Elite = country-level. 4-level hierarchy seeded with 54 cities and 11,679 suburbs for South Africa.</w:t>
            </w:r>
          </w:p>
          <w:p>
            <w:pPr>
              <w:spacing w:after="80"/>
            </w:pPr>
            <w:r>
              <w:rPr>
                <w:sz w:val="21"/>
              </w:rPr>
              <w:t>Novelty: Geo-hierarchy gating tied to subscription tier as primary visibility control (not paid promotion/advertising) is not implemented in known prior art.</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6: Founding Seller Cohort</w:t>
            </w:r>
            <w:r>
              <w:rPr>
                <w:b/>
                <w:color w:val="2E5A88"/>
                <w:sz w:val="21"/>
              </w:rPr>
              <w:t xml:space="preserve">   [SOLID]</w:t>
            </w:r>
          </w:p>
          <w:p>
            <w:pPr>
              <w:spacing w:after="80"/>
            </w:pPr>
            <w:r>
              <w:rPr>
                <w:sz w:val="21"/>
              </w:rPr>
              <w:t>Permanent priority placement in perpetuity for the initial 60-seller cohort per city. Founding status recorded on seller profile and never expires. Functions as a launch incentive without requiring ongoing payment. Founding seller badge persists regardless of subscription tier changes.</w:t>
            </w:r>
          </w:p>
          <w:p>
            <w:pPr>
              <w:spacing w:after="80"/>
            </w:pPr>
            <w:r>
              <w:rPr>
                <w:sz w:val="21"/>
              </w:rPr>
              <w:t>Novelty: Permanent non-expiring founding priority as a platform launch mechanism is not implemented in known prior art.</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7: Combination Claim + AI Services Layer</w:t>
            </w:r>
            <w:r>
              <w:rPr>
                <w:b/>
                <w:color w:val="2E5A88"/>
                <w:sz w:val="21"/>
              </w:rPr>
              <w:t xml:space="preserve">   [STRONG]</w:t>
            </w:r>
          </w:p>
          <w:p>
            <w:pPr>
              <w:spacing w:after="80"/>
            </w:pPr>
            <w:r>
              <w:rPr>
                <w:sz w:val="21"/>
              </w:rPr>
              <w:t>Claims 1-6 operating as an integrated platform, extended by: (a) Subscription Tier Architecture — five tiers ($0 Free / $12 Standard / $20 Professional / $40 Business / $100 Elite), each with a BEA-enforced listing slot limit (2/10/25/60/500). Slot enforcement at publish time, server-side. Downgrades queued to end-of-billing-period. Tuppence per-introduction cost architecturally separate from slot pricing. (b) AI Services Layer — 10 AI-powered services (AI1-AI10) gated by Tuppence micro-payment (1-3T per service). Services span listing rewrite, seller audit, buyer price check, yield calculator, vision-AI batch listing creation, portfolio import, financial statement, and monthly performance report. (c) AI Guardrail Architecture — existence gate (indexed DB lookup confirming registered email before any Anthropic API call; unknown email -&gt; HTTP 401; ~0.1ms, zero UX impact); non-blocking spend register (ai_spend_log table + ai_spend_config singleton; income-linked threshold alert via webhook; max once per day; never auto-throttles users). The combination of all elements is non-obvious even where individual elements may not be.</w:t>
            </w:r>
          </w:p>
          <w:p>
            <w:pPr>
              <w:spacing w:after="80"/>
            </w:pPr>
            <w:r>
              <w:rPr>
                <w:sz w:val="21"/>
              </w:rPr>
              <w:t>Novelty: The combination of commitment-gated anonymous introduction + slot-based subscription tiers + Tuppence-gated AI services + existence-gated API guardrails + spend-linked threshold alerting is not implemented in any known prior art platform.</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8: Heritage Content Linking (dependent on Claim 1)</w:t>
            </w:r>
            <w:r>
              <w:rPr>
                <w:b/>
                <w:color w:val="2E5A88"/>
                <w:sz w:val="21"/>
              </w:rPr>
              <w:t xml:space="preserve">   [SOLID]</w:t>
            </w:r>
          </w:p>
          <w:p>
            <w:pPr>
              <w:spacing w:after="80"/>
            </w:pPr>
            <w:r>
              <w:rPr>
                <w:sz w:val="21"/>
              </w:rPr>
              <w:t>A method whereby structured heritage/place metadata is associated with an anonymous marketplace listing and surfaced to buyers as a non-transactional informational overlay, comprising: (i) a structured content layer storing, per site, an identifier, name, type, geographic location, descriptive and historical text, coordinates, and licensed imagery with provenance/attribution fields; (ii) seller-initiated linking of one or more sites to a listing; (iii) an automatic proximity-and-category linker that proposes contextually relevant sites for a listing based on its location and category while preserving any seller-set links; and (iv) display of the linked content as an informational overlay that carries no transactional function and does not alter the anonymity or introduction mechanics of Claims 1-3.</w:t>
            </w:r>
          </w:p>
          <w:p>
            <w:pPr>
              <w:spacing w:after="80"/>
            </w:pPr>
            <w:r>
              <w:rPr>
                <w:sz w:val="21"/>
              </w:rPr>
              <w:t>The protectable element is the METHOD — seller-linked structured place-metadata as informational context on an anonymous listing, plus automatic proximity/category linking — not any particular catalogue size, source, or number of links. The current implementation (a Wikimedia-sourced corpus of heritage sites, an automatic-link cap, and per-record attribution) is described in the Whitepaper as an implementation detail only and is expressly NOT a limitation of this claim.</w:t>
            </w:r>
          </w:p>
          <w:p>
            <w:pPr>
              <w:spacing w:after="80"/>
            </w:pPr>
            <w:r>
              <w:rPr>
                <w:sz w:val="21"/>
              </w:rPr>
              <w:t>Novelty: Integration of structured heritage/place content as seller-linked, non-transactional listing context within an anonymous, commitment-gated marketplace is not implemented in any known prior art. Novelty resides in the method and its combination with Claims 1-3, independent of catalogue size.</w:t>
            </w:r>
          </w:p>
        </w:tc>
      </w:tr>
    </w:tbl>
    <w:p>
      <w:pPr>
        <w:spacing w:after="40"/>
      </w:pPr>
    </w:p>
    <w:p>
      <w:r>
        <w:br w:type="page"/>
      </w:r>
    </w:p>
    <w:p>
      <w:pPr>
        <w:pStyle w:val="Heading1"/>
      </w:pPr>
      <w:r>
        <w:t>3A. New Independent Claim — AI-Mediated Inbound Communication Triage (Claim 9)</w:t>
      </w:r>
    </w:p>
    <w:p>
      <w:pPr>
        <w:pStyle w:val="Heading2"/>
      </w:pPr>
      <w:r>
        <w:t>3A.1 Background</w:t>
      </w:r>
    </w:p>
    <w:p>
      <w:pPr>
        <w:spacing w:after="160"/>
      </w:pPr>
      <w:r>
        <w:rPr>
          <w:b w:val="0"/>
          <w:i w:val="0"/>
          <w:sz w:val="21"/>
        </w:rPr>
        <w:t>Customer-facing marketplaces receive high volumes of inbound email (support, billing, legal, compliance, and spam). Existing systems either (a) route all mail to human agents, or (b) auto-respond indiscriminately using template matching, with no model-assessed judgement of whether a given message is safe to answer autonomously. Neither approach combines model-graded confidence with hard category and policy guardrails, and none integrate that guardrail with the platform's existing anonymity and non-refundable-currency invariants.</w:t>
      </w:r>
    </w:p>
    <w:p>
      <w:pPr>
        <w:pStyle w:val="Heading2"/>
      </w:pPr>
      <w:r>
        <w:t>3A.2 Claim Language</w:t>
      </w:r>
    </w:p>
    <w:p>
      <w:pPr>
        <w:spacing w:after="160"/>
      </w:pPr>
      <w:r>
        <w:rPr>
          <w:b w:val="0"/>
          <w:i w:val="0"/>
          <w:sz w:val="21"/>
        </w:rPr>
        <w:t>A method for autonomous triage and conditional response of inbound electronic communications on a marketplace platform, comprising:</w:t>
      </w: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Element 9.1 — Authenticated Inbound Ingestion Gate</w:t>
            </w:r>
          </w:p>
          <w:p>
            <w:pPr>
              <w:spacing w:after="80"/>
            </w:pPr>
            <w:r>
              <w:rPr>
                <w:sz w:val="21"/>
              </w:rPr>
              <w:t>Inbound email addressed to platform mailboxes is received by an edge worker (Cloudflare Email Worker) which parses the message and forwards it to a backend endpoint (POST /email/inbound) authenticated by a shared secret header (X-Inbound-Secret / EMAIL_INBOUND_SECRET). Requests lacking the secret are rejected (HTTP 401); when the secret is unconfigured the endpoint refuses all calls (HTTP 503). The edge worker additionally forwards a copy to a human inbox as a safety net and is engineered never to bounce mail. This is an existence/secret-auth gate analogous to, and architecturally consistent with, the AI Guardrail existence gate of Claim 7.</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Element 9.2 — Model Classification with Structured Output</w:t>
            </w:r>
          </w:p>
          <w:p>
            <w:pPr>
              <w:spacing w:after="80"/>
            </w:pPr>
            <w:r>
              <w:rPr>
                <w:sz w:val="21"/>
              </w:rPr>
              <w:t>The backend invokes a large language model (Claude Haiku) under a constrained system prompt that returns strict JSON: {category in [support, billing, legal, compliance, spam, other]; urgency in [low, normal, high]; draft_reply (plain text); auto_safe (boolean)}. The system prompt encodes platform invariants directly — never reveal seller identities or internal data, and never promise refunds because Tuppence is strictly non-refundable. Any parse or API failure falls back to a safe default (category 'other', auto_safe false) and never raises. The classification call is recorded in the AI spend register of Claim 7 (_log_ai_spend).</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Element 9.3 — Conservative Auto-Send Gate</w:t>
            </w:r>
          </w:p>
          <w:p>
            <w:pPr>
              <w:spacing w:after="80"/>
            </w:pPr>
            <w:r>
              <w:rPr>
                <w:sz w:val="21"/>
              </w:rPr>
              <w:t>A reply is auto-sent only when ALL of the following hold conjunctively: (i) operator opt-in flag EMAIL_AUTO_SEND=1; (ii) a sending credential is configured (GMAIL_APP_PASSWORD); (iii) the model returned auto_safe=true; (iv) the category is within an explicit auto-send allow-list {support, billing}; and (v) a non-empty draft exists. The default state is draft-only: every message is classified and stored, but nothing is sent. Legal, compliance, disputes, threats, and any ambiguous message are always held as drafts regardless of operator flags. Spam is skipped (stored, not answered). This gate is deliberately conservative — the union of a model self-assessment with an independent hard category allow-list means a model false-positive alone cannot cause an autonomous send.</w:t>
            </w:r>
          </w:p>
        </w:tc>
      </w:tr>
    </w:tbl>
    <w:p>
      <w:pPr>
        <w:spacing w:after="40"/>
      </w:pPr>
    </w:p>
    <w:tbl>
      <w:tblPr>
        <w:tblStyle w:val="TableGrid"/>
        <w:tblW w:type="auto" w:w="0"/>
        <w:jc w:val="center"/>
        <w:tblLayout w:type="fixed"/>
        <w:tblLook w:firstColumn="1" w:firstRow="1" w:lastColumn="0" w:lastRow="0" w:noHBand="0" w:noVBand="1" w:val="04A0"/>
      </w:tblPr>
      <w:tblGrid>
        <w:gridCol w:w="9360"/>
      </w:tblGrid>
      <w:tr>
        <w:tc>
          <w:tcPr>
            <w:tcW w:type="dxa" w:w="9360"/>
            <w:shd w:val="clear" w:color="auto" w:fill="F2F6FA"/>
          </w:tcPr>
          <w:p>
            <w:pPr>
              <w:spacing w:after="80"/>
            </w:pPr>
            <w:r>
              <w:rPr>
                <w:b/>
                <w:sz w:val="21"/>
              </w:rPr>
              <w:t>Claim Element 9.4 — Threaded SMTP Reply and Audit Trail</w:t>
            </w:r>
          </w:p>
          <w:p>
            <w:pPr>
              <w:spacing w:after="80"/>
            </w:pPr>
            <w:r>
              <w:rPr>
                <w:sz w:val="21"/>
              </w:rPr>
              <w:t>When the gate permits, the platform sends the drafted reply via SMTP (smtp.gmail.com:587 STARTTLS), threading the response via In-Reply-To/References headers. Every inbound message — sent, drafted, skipped, or failed — is persisted to an email_triage table (from/to/subject/body_preview/category/urgency/draft_reply/status/message_id/received_at) for ops review via GET /admin/email-triage (API-key gated) and an obscure-URL ops dashboard panel (GET /dashboard/email-triage).</w:t>
            </w:r>
          </w:p>
        </w:tc>
      </w:tr>
    </w:tbl>
    <w:p>
      <w:pPr>
        <w:spacing w:after="40"/>
      </w:pPr>
    </w:p>
    <w:p>
      <w:pPr>
        <w:spacing w:after="160"/>
      </w:pPr>
      <w:r>
        <w:rPr>
          <w:b/>
          <w:sz w:val="21"/>
        </w:rPr>
        <w:t xml:space="preserve">Novelty statement (Claim 9): </w:t>
      </w:r>
      <w:r>
        <w:rPr>
          <w:b w:val="0"/>
          <w:sz w:val="21"/>
        </w:rPr>
        <w:t>No known marketplace platform combines (i) a secret-authenticated edge-to-backend inbound ingestion gate, (ii) LLM classification emitting a structured category/urgency/draft/auto-safe judgement, (iii) a conservative auto-send gate requiring the conjunction of a model self-assessment AND an independent hard category allow-list before any autonomous reply, with legal/compliance/ambiguous mail always withheld, and (iv) encoding of platform-specific invariants (seller anonymity; strictly non-refundable Tuppence) directly into the model's response constraints. The method is a dependent extension of the AI Guardrail Architecture of Claim 7 and shares its existence-gate design philosophy.</w:t>
      </w:r>
    </w:p>
    <w:p>
      <w:pPr>
        <w:spacing w:after="160"/>
      </w:pPr>
      <w:r>
        <w:rPr>
          <w:b/>
          <w:sz w:val="21"/>
        </w:rPr>
        <w:t xml:space="preserve">Relationship to Claim 7: </w:t>
      </w:r>
      <w:r>
        <w:rPr>
          <w:b w:val="0"/>
          <w:sz w:val="21"/>
        </w:rPr>
        <w:t>Claim 9 may be filed either as a new independent claim (recommended for the autonomous-send gate, which is the strongest standalone technical element) or as additional sub-elements (d) and (e) of the expanded Claim 7 Combination Claim. Counsel to advise — see Section 7.</w:t>
      </w:r>
    </w:p>
    <w:p>
      <w:pPr>
        <w:pStyle w:val="Heading1"/>
      </w:pPr>
      <w:r>
        <w:t>4. Dependent Claim — Investment Property Self-Funding Filter</w:t>
      </w:r>
    </w:p>
    <w:p>
      <w:pPr>
        <w:pStyle w:val="Heading2"/>
      </w:pPr>
      <w:r>
        <w:t>4.1 Background</w:t>
      </w:r>
    </w:p>
    <w:p>
      <w:pPr>
        <w:spacing w:after="160"/>
      </w:pPr>
      <w:r>
        <w:rPr>
          <w:b w:val="0"/>
          <w:i w:val="0"/>
          <w:sz w:val="21"/>
        </w:rPr>
        <w:t>Investment property buyers operating under a self-funding criterion — where rental income must cover bond repayments from the date of acquisition — currently have no platform-level tool to pre-filter listings against this criterion.</w:t>
      </w:r>
    </w:p>
    <w:p>
      <w:pPr>
        <w:pStyle w:val="Heading2"/>
      </w:pPr>
      <w:r>
        <w:t>4.2 Claim Language</w:t>
      </w:r>
    </w:p>
    <w:p>
      <w:pPr>
        <w:pStyle w:val="ListBullet"/>
        <w:spacing w:after="100"/>
      </w:pPr>
      <w:r>
        <w:rPr>
          <w:sz w:val="21"/>
        </w:rPr>
        <w:t>Seller-declared yield inputs: seller enters optional monthly rental income alongside asking price; platform computes gross yield; stored as derived field; displayed as badge on listing card and detail view</w:t>
      </w:r>
    </w:p>
    <w:p>
      <w:pPr>
        <w:pStyle w:val="ListBullet"/>
        <w:spacing w:after="100"/>
      </w:pPr>
      <w:r>
        <w:rPr>
          <w:sz w:val="21"/>
        </w:rPr>
        <w:t>Live bond repayment benchmark: platform maintains configurable prime lending rate; computes theoretical monthly bond repayment at standard amortisation (default 20 years at prime+1); recomputed automatically when rate updates</w:t>
      </w:r>
    </w:p>
    <w:p>
      <w:pPr>
        <w:pStyle w:val="ListBullet"/>
        <w:spacing w:after="100"/>
      </w:pPr>
      <w:r>
        <w:rPr>
          <w:sz w:val="21"/>
        </w:rPr>
        <w:t>Self-funding classification: listing classified as self-funding where declared monthly rental income &gt;= computed bond repayment; stored as derived boolean; updated automatically when prime rate changes</w:t>
      </w:r>
    </w:p>
    <w:p>
      <w:pPr>
        <w:pStyle w:val="ListBullet"/>
        <w:spacing w:after="100"/>
      </w:pPr>
      <w:r>
        <w:rPr>
          <w:sz w:val="21"/>
        </w:rPr>
        <w:t>Buyer-facing pre-qualification filter: single-action browse filter surfaces only self-funding listings; buyer requires no knowledge of prime rate, bond term, or yield formula</w:t>
      </w:r>
    </w:p>
    <w:p>
      <w:pPr>
        <w:spacing w:after="160"/>
      </w:pPr>
      <w:r>
        <w:rPr>
          <w:b w:val="0"/>
          <w:i w:val="0"/>
          <w:sz w:val="21"/>
        </w:rPr>
        <w:t>Dependency: this is a dependent claim on Claim 2. A buyer activating the self-funding filter who proceeds to request an introduction does so through the same Tuppence-gated anonymous introduction mechanism.</w:t>
      </w:r>
    </w:p>
    <w:p>
      <w:pPr>
        <w:pStyle w:val="Heading1"/>
      </w:pPr>
      <w:r>
        <w:t>5. Future Claim — Bank Pre-Authorisation Hold</w:t>
      </w:r>
    </w:p>
    <w:p>
      <w:pPr>
        <w:spacing w:after="160"/>
      </w:pPr>
      <w:r>
        <w:rPr>
          <w:b w:val="0"/>
          <w:i w:val="0"/>
          <w:sz w:val="21"/>
        </w:rPr>
        <w:t>For ultra-high-value listings (private aircraft, superyachts, game reserves, large commercial properties), the primary risk is active spoofing and fraudulent introduction requests. A bank pre-authorisation hold (not a charge) would be released on introduction decline or listing withdrawal. This claim is not yet implemented and is documented for prior art anchoring only.</w:t>
      </w:r>
    </w:p>
    <w:p>
      <w:pPr>
        <w:pStyle w:val="Heading1"/>
      </w:pPr>
      <w:r>
        <w:t>6. Key Risk Assessment</w:t>
      </w:r>
    </w:p>
    <w:tbl>
      <w:tblPr>
        <w:tblStyle w:val="TableGrid"/>
        <w:tblW w:type="auto" w:w="0"/>
        <w:jc w:val="center"/>
        <w:tblLook w:firstColumn="1" w:firstRow="1" w:lastColumn="0" w:lastRow="0" w:noHBand="0" w:noVBand="1" w:val="04A0"/>
      </w:tblPr>
      <w:tblGrid>
        <w:gridCol w:w="3120"/>
        <w:gridCol w:w="3120"/>
        <w:gridCol w:w="3120"/>
      </w:tblGrid>
      <w:tr>
        <w:tc>
          <w:tcPr>
            <w:tcW w:type="dxa" w:w="1900"/>
            <w:shd w:val="clear" w:color="auto" w:fill="2E5A88"/>
          </w:tcPr>
          <w:p>
            <w:r>
              <w:rPr>
                <w:b/>
                <w:color w:val="FFFFFF"/>
                <w:sz w:val="21"/>
              </w:rPr>
              <w:t>Area</w:t>
            </w:r>
          </w:p>
        </w:tc>
        <w:tc>
          <w:tcPr>
            <w:tcW w:type="dxa" w:w="1500"/>
            <w:shd w:val="clear" w:color="auto" w:fill="2E5A88"/>
          </w:tcPr>
          <w:p>
            <w:r>
              <w:rPr>
                <w:b/>
                <w:color w:val="FFFFFF"/>
                <w:sz w:val="21"/>
              </w:rPr>
              <w:t>Risk</w:t>
            </w:r>
          </w:p>
        </w:tc>
        <w:tc>
          <w:tcPr>
            <w:tcW w:type="dxa" w:w="5960"/>
            <w:shd w:val="clear" w:color="auto" w:fill="2E5A88"/>
          </w:tcPr>
          <w:p>
            <w:r>
              <w:rPr>
                <w:b/>
                <w:color w:val="FFFFFF"/>
                <w:sz w:val="21"/>
              </w:rPr>
              <w:t>Notes</w:t>
            </w:r>
          </w:p>
        </w:tc>
      </w:tr>
      <w:tr>
        <w:tc>
          <w:tcPr>
            <w:tcW w:type="dxa" w:w="1900"/>
          </w:tcPr>
          <w:p>
            <w:r>
              <w:rPr>
                <w:b w:val="0"/>
                <w:sz w:val="21"/>
              </w:rPr>
              <w:t>Banks Act 94 of 1990</w:t>
            </w:r>
          </w:p>
        </w:tc>
        <w:tc>
          <w:tcPr>
            <w:tcW w:type="dxa" w:w="1500"/>
          </w:tcPr>
          <w:p>
            <w:r>
              <w:rPr>
                <w:b/>
                <w:sz w:val="21"/>
              </w:rPr>
              <w:t>NO RISK</w:t>
            </w:r>
          </w:p>
        </w:tc>
        <w:tc>
          <w:tcPr>
            <w:tcW w:type="dxa" w:w="5960"/>
          </w:tcPr>
          <w:p>
            <w:r>
              <w:rPr>
                <w:b w:val="0"/>
                <w:sz w:val="21"/>
              </w:rPr>
              <w:t>Tuppence is non-refundable under any circumstance. Confirmed via Erratum 2026-05-12. No deposit element engaged. Closed-loop service credit satisfies SARB interpretive practice on all limbs.</w:t>
            </w:r>
          </w:p>
        </w:tc>
      </w:tr>
      <w:tr>
        <w:tc>
          <w:tcPr>
            <w:tcW w:type="dxa" w:w="1900"/>
          </w:tcPr>
          <w:p>
            <w:r>
              <w:rPr>
                <w:b w:val="0"/>
                <w:sz w:val="21"/>
              </w:rPr>
              <w:t>Section 25(2) SA Patents Act</w:t>
            </w:r>
          </w:p>
        </w:tc>
        <w:tc>
          <w:tcPr>
            <w:tcW w:type="dxa" w:w="1500"/>
          </w:tcPr>
          <w:p>
            <w:r>
              <w:rPr>
                <w:b/>
                <w:sz w:val="21"/>
              </w:rPr>
              <w:t>MODERATE</w:t>
            </w:r>
          </w:p>
        </w:tc>
        <w:tc>
          <w:tcPr>
            <w:tcW w:type="dxa" w:w="5960"/>
          </w:tcPr>
          <w:p>
            <w:r>
              <w:rPr>
                <w:b w:val="0"/>
                <w:sz w:val="21"/>
              </w:rPr>
              <w:t>Business method exclusion applies 'as such'. Claims are technically framed around DB schema, protocol, and algorithm — not abstract business method. Pre-filing consultation (2026-05-12) recommends Claim 1 redraft to emphasise technical authorisation mechanism rather than database normalisation.</w:t>
            </w:r>
          </w:p>
        </w:tc>
      </w:tr>
      <w:tr>
        <w:tc>
          <w:tcPr>
            <w:tcW w:type="dxa" w:w="1900"/>
          </w:tcPr>
          <w:p>
            <w:r>
              <w:rPr>
                <w:b w:val="0"/>
                <w:sz w:val="21"/>
              </w:rPr>
              <w:t>USPTO 101 / Alice</w:t>
            </w:r>
          </w:p>
        </w:tc>
        <w:tc>
          <w:tcPr>
            <w:tcW w:type="dxa" w:w="1500"/>
          </w:tcPr>
          <w:p>
            <w:r>
              <w:rPr>
                <w:b/>
                <w:sz w:val="21"/>
              </w:rPr>
              <w:t>MODERATE</w:t>
            </w:r>
          </w:p>
        </w:tc>
        <w:tc>
          <w:tcPr>
            <w:tcW w:type="dxa" w:w="5960"/>
          </w:tcPr>
          <w:p>
            <w:r>
              <w:rPr>
                <w:b w:val="0"/>
                <w:sz w:val="21"/>
              </w:rPr>
              <w:t>Claim 1 vulnerable as drafted. Redraft recommended to add technical implementation detail. Claims 2-7 are stronger. Claim 9 auto-send gate is concrete and technical (secret-auth + structured-output + conjunctive allow-list) and should be drafted to foreground that implementation. PCT ISR (EPO) will be the real test.</w:t>
            </w:r>
          </w:p>
        </w:tc>
      </w:tr>
      <w:tr>
        <w:tc>
          <w:tcPr>
            <w:tcW w:type="dxa" w:w="1900"/>
          </w:tcPr>
          <w:p>
            <w:r>
              <w:rPr>
                <w:b w:val="0"/>
                <w:sz w:val="21"/>
              </w:rPr>
              <w:t>FAIS</w:t>
            </w:r>
          </w:p>
        </w:tc>
        <w:tc>
          <w:tcPr>
            <w:tcW w:type="dxa" w:w="1500"/>
          </w:tcPr>
          <w:p>
            <w:r>
              <w:rPr>
                <w:b/>
                <w:sz w:val="21"/>
              </w:rPr>
              <w:t>NO RISK</w:t>
            </w:r>
          </w:p>
        </w:tc>
        <w:tc>
          <w:tcPr>
            <w:tcW w:type="dxa" w:w="5960"/>
          </w:tcPr>
          <w:p>
            <w:r>
              <w:rPr>
                <w:b w:val="0"/>
                <w:sz w:val="21"/>
              </w:rPr>
              <w:t>Platform is introduction intermediary only; no financial advice; no transaction conclusion; no client funds held beyond closed-loop Tuppence credit.</w:t>
            </w:r>
          </w:p>
        </w:tc>
      </w:tr>
      <w:tr>
        <w:tc>
          <w:tcPr>
            <w:tcW w:type="dxa" w:w="1900"/>
          </w:tcPr>
          <w:p>
            <w:r>
              <w:rPr>
                <w:b w:val="0"/>
                <w:sz w:val="21"/>
              </w:rPr>
              <w:t>POPIA</w:t>
            </w:r>
          </w:p>
        </w:tc>
        <w:tc>
          <w:tcPr>
            <w:tcW w:type="dxa" w:w="1500"/>
          </w:tcPr>
          <w:p>
            <w:r>
              <w:rPr>
                <w:b/>
                <w:sz w:val="21"/>
              </w:rPr>
              <w:t>LOW</w:t>
            </w:r>
          </w:p>
        </w:tc>
        <w:tc>
          <w:tcPr>
            <w:tcW w:type="dxa" w:w="5960"/>
          </w:tcPr>
          <w:p>
            <w:r>
              <w:rPr>
                <w:b w:val="0"/>
                <w:sz w:val="21"/>
              </w:rPr>
              <w:t>Magic link email collection constitutes prior consent. Counsel to confirm timing. Data minimisation maintained (no PII transmitted until bilateral consent). Claim 9 email triage stores only a 500-char body preview and routes legal/compliance to human review.</w:t>
            </w:r>
          </w:p>
        </w:tc>
      </w:tr>
    </w:tbl>
    <w:p>
      <w:pPr>
        <w:spacing w:after="80"/>
      </w:pPr>
    </w:p>
    <w:p>
      <w:pPr>
        <w:pStyle w:val="Heading1"/>
      </w:pPr>
      <w:r>
        <w:t>7. Immediate Actions for Counsel</w:t>
      </w:r>
    </w:p>
    <w:p>
      <w:pPr>
        <w:pStyle w:val="ListBullet"/>
        <w:spacing w:after="100"/>
      </w:pPr>
      <w:r>
        <w:rPr>
          <w:sz w:val="21"/>
        </w:rPr>
        <w:t>Redraft Claim 1 to emphasise technical authorisation mechanism (not DB normalisation) — see Pre-Filing Consultation 2026-05-12 Section 2</w:t>
      </w:r>
    </w:p>
    <w:p>
      <w:pPr>
        <w:pStyle w:val="ListBullet"/>
        <w:spacing w:after="100"/>
      </w:pPr>
      <w:r>
        <w:rPr>
          <w:sz w:val="21"/>
        </w:rPr>
        <w:t>Review Claim 7 combination language for new elements: 5-tier subscription slot enforcement, AI services Tuppence gate, existence gate guardrail architecture</w:t>
      </w:r>
    </w:p>
    <w:p>
      <w:pPr>
        <w:pStyle w:val="ListBullet"/>
        <w:spacing w:after="100"/>
      </w:pPr>
      <w:r>
        <w:rPr>
          <w:sz w:val="21"/>
        </w:rPr>
        <w:t>NEW (v4): Decide Claim 9 structure — file the AI email triage / autonomous support-response method as a new independent Claim 9, or fold it into Claim 7 as sub-elements (d) existence/secret-auth inbound gate and (e) conservative conjunctive auto-send gate. The auto-send gate (model self-assessment ∧ hard category allow-list, with legal/compliance always held) is the strongest standalone technical element.</w:t>
      </w:r>
    </w:p>
    <w:p>
      <w:pPr>
        <w:pStyle w:val="ListBullet"/>
        <w:spacing w:after="100"/>
      </w:pPr>
      <w:r>
        <w:rPr>
          <w:sz w:val="21"/>
        </w:rPr>
        <w:t>NEW (v4): Confirm that encoding platform invariants (seller anonymity; strictly non-refundable Tuppence) into an LLM response constraint is presented as a technical safety mechanism, not a business rule, for Section 25(2) / 101 robustness.</w:t>
      </w:r>
    </w:p>
    <w:p>
      <w:pPr>
        <w:pStyle w:val="ListBullet"/>
        <w:spacing w:after="100"/>
      </w:pPr>
      <w:r>
        <w:rPr>
          <w:sz w:val="21"/>
        </w:rPr>
        <w:t>NEW (v4): Construe Claim 2 with the express referral/commission distinction (Claim Element 2A) — buyer-paid, fixed (non-proportional), pre-introduction, outcome-independent, non-refundable, paid blind into anonymity. Draft to foreclose any 'this is merely a referral/finder's fee' invalidity or non-infringement argument. Treat anonymity (Element 1) and the non-refundable pre-introduction charge (Element 2/2A) as inseparable, mutually reinforcing elements.</w:t>
      </w:r>
    </w:p>
    <w:p>
      <w:pPr>
        <w:pStyle w:val="ListBullet"/>
        <w:spacing w:after="100"/>
      </w:pPr>
      <w:r>
        <w:rPr>
          <w:sz w:val="21"/>
        </w:rPr>
        <w:t>NEW (v4): For Claim 8, ensure no catalogue size, source, or link count is drafted as a claim limitation — the protectable subject matter is the method (seller-linked structured place-metadata as non-transactional overlay + automatic proximity/category linking). Keep all numbers in the descriptive specification only.</w:t>
      </w:r>
    </w:p>
    <w:p>
      <w:pPr>
        <w:pStyle w:val="ListBullet"/>
        <w:spacing w:after="100"/>
      </w:pPr>
      <w:r>
        <w:rPr>
          <w:sz w:val="21"/>
        </w:rPr>
        <w:t>Confirm Banks Act position per Erratum 2026-05-12 — supersedes Section 5.3 of original memorandum</w:t>
      </w:r>
    </w:p>
    <w:p>
      <w:pPr>
        <w:pStyle w:val="ListBullet"/>
        <w:spacing w:after="100"/>
      </w:pPr>
      <w:r>
        <w:rPr>
          <w:sz w:val="21"/>
        </w:rPr>
        <w:t>Confirm POPIA consent timing on magic link flow (Section 6.6) and on email_triage body-preview retention</w:t>
      </w:r>
    </w:p>
    <w:p>
      <w:pPr>
        <w:pStyle w:val="ListBullet"/>
        <w:spacing w:after="100"/>
      </w:pPr>
      <w:r>
        <w:rPr>
          <w:sz w:val="21"/>
        </w:rPr>
        <w:t>File SA Provisional Patent (iponline.cipc.co.za) before public launch — 9 claims</w:t>
      </w:r>
    </w:p>
    <w:p>
      <w:pPr>
        <w:pStyle w:val="ListBullet"/>
        <w:spacing w:after="100"/>
      </w:pPr>
      <w:r>
        <w:rPr>
          <w:sz w:val="21"/>
        </w:rPr>
        <w:t>File SA Trademark Classes 35, 36, 42 same day as provisional</w:t>
      </w:r>
    </w:p>
    <w:p>
      <w:pPr>
        <w:pStyle w:val="ListBullet"/>
        <w:spacing w:after="100"/>
      </w:pPr>
      <w:r>
        <w:rPr>
          <w:sz w:val="21"/>
        </w:rPr>
        <w:t>Advise on PCT via CIPC vs. direct WIPO filing (budget constraint: SA small entity)</w:t>
      </w:r>
    </w:p>
    <w:p>
      <w:pPr>
        <w:spacing w:after="120"/>
      </w:pPr>
      <w:r>
        <w:rPr>
          <w:b/>
          <w:i w:val="0"/>
          <w:sz w:val="21"/>
        </w:rPr>
        <w:t>Version History</w:t>
      </w:r>
    </w:p>
    <w:tbl>
      <w:tblPr>
        <w:tblStyle w:val="TableGrid"/>
        <w:tblW w:type="auto" w:w="0"/>
        <w:jc w:val="center"/>
        <w:tblLook w:firstColumn="1" w:firstRow="1" w:lastColumn="0" w:lastRow="0" w:noHBand="0" w:noVBand="1" w:val="04A0"/>
      </w:tblPr>
      <w:tblGrid>
        <w:gridCol w:w="9360"/>
      </w:tblGrid>
      <w:tr>
        <w:tc>
          <w:tcPr>
            <w:tcW w:type="dxa" w:w="9360"/>
            <w:shd w:val="clear" w:color="auto" w:fill="F2F6FA"/>
          </w:tcPr>
          <w:p>
            <w:pPr>
              <w:spacing w:after="80"/>
            </w:pPr>
            <w:r>
              <w:rPr>
                <w:b w:val="0"/>
                <w:sz w:val="21"/>
              </w:rPr>
              <w:t>v1 (April 2026): Initial 7-claim draft</w:t>
            </w:r>
          </w:p>
          <w:p>
            <w:pPr>
              <w:spacing w:after="80"/>
            </w:pPr>
            <w:r>
              <w:rPr>
                <w:b w:val="0"/>
                <w:sz w:val="21"/>
              </w:rPr>
              <w:t>v2 (May 2026): Claim 8 Heritage layer added; dependent claim investment property self-funding filter; ultra-high-value bank hold gate</w:t>
            </w:r>
          </w:p>
          <w:p>
            <w:pPr>
              <w:spacing w:after="80"/>
            </w:pPr>
            <w:r>
              <w:rPr>
                <w:b w:val="0"/>
                <w:sz w:val="21"/>
              </w:rPr>
              <w:t>v3 (May 2026): Subscription tier redesign (5 tiers, slot enforcement), AI Services layer (10 services, Tuppence-gated), AI Guardrail Architecture (existence gate + spend register) — all now patentable elements within Claim 7 (Combination Claim)</w:t>
            </w:r>
          </w:p>
          <w:p>
            <w:pPr>
              <w:spacing w:after="80"/>
            </w:pPr>
            <w:r>
              <w:rPr>
                <w:b/>
                <w:sz w:val="21"/>
              </w:rPr>
              <w:t>v4 (May 2026): Claim 9 added — AI-mediated inbound communication triage / autonomous support response (Session 94): secret-auth edge ingestion gate, LLM structured classification (category/urgency/draft/auto_safe), conservative conjunctive auto-send gate (model self-assessment ∧ category allow-list {support,billing}; legal/compliance/ambiguous always held), threaded SMTP reply + email_triage audit table. BEA v1.3.4. Claim schedule now 9 claims.</w:t>
            </w:r>
          </w:p>
          <w:p>
            <w:pPr>
              <w:spacing w:after="80"/>
            </w:pPr>
            <w:r>
              <w:rPr>
                <w:b/>
                <w:sz w:val="21"/>
              </w:rPr>
              <w:t>v4 (rev., May 2026): Claim 2 strengthened with express referral/commission distinction (new Claim Element 2A) — buyer-paid, fixed/non-proportional, pre-introduction, outcome-independent, non-refundable, paid blind into anonymity; anonymity + non-refundable charge framed as inseparable. Claim 8 reframed so the METHOD is the claim and catalogue size (heritage site count) / link cap are expressly non-limiting implementation detail, not claim elements.</w:t>
            </w:r>
          </w:p>
        </w:tc>
      </w:tr>
    </w:tbl>
    <w:p>
      <w:pPr>
        <w:spacing w:after="80"/>
      </w:pPr>
    </w:p>
    <w:p>
      <w:pPr>
        <w:spacing w:after="160"/>
      </w:pPr>
      <w:r>
        <w:rPr>
          <w:b/>
          <w:i w:val="0"/>
          <w:color w:val="2E5A88"/>
          <w:sz w:val="20"/>
        </w:rPr>
        <w:t>PRIVILEGED AND CONFIDENTIAL — ATTORNEY-CLIENT MATERIAL</w:t>
      </w:r>
    </w:p>
    <w:p>
      <w:pPr>
        <w:spacing w:after="40"/>
      </w:pPr>
      <w:r>
        <w:rPr>
          <w:b w:val="0"/>
          <w:i w:val="0"/>
          <w:color w:val="888888"/>
          <w:sz w:val="18"/>
        </w:rPr>
        <w:t>TrustSquare (Pty) Ltd  |  Reg 2026/340128/07  |  Director: David Maurice Conradie</w:t>
      </w:r>
    </w:p>
    <w:p>
      <w:pPr>
        <w:spacing w:after="160"/>
      </w:pPr>
      <w:r>
        <w:rPr>
          <w:b/>
          <w:i w:val="0"/>
          <w:color w:val="888888"/>
          <w:sz w:val="18"/>
        </w:rPr>
        <w:t>PRIVILEGED AND CONFIDENTIAL — ATTORNEY-CLIENT MATERIAL — Not for distribution beyond named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A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