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A88"/>
          <w:sz w:val="36"/>
        </w:rPr>
        <w:t>TrustSquare (Pty) Ltd</w:t>
      </w:r>
    </w:p>
    <w:p>
      <w:pPr>
        <w:spacing w:after="40"/>
      </w:pPr>
      <w:r>
        <w:rPr>
          <w:b/>
          <w:i w:val="0"/>
          <w:sz w:val="26"/>
        </w:rPr>
        <w:t>IP Protection &amp; Patent Strategy</w:t>
      </w:r>
    </w:p>
    <w:p>
      <w:pPr>
        <w:spacing w:after="40"/>
      </w:pPr>
      <w:r>
        <w:rPr>
          <w:b w:val="0"/>
          <w:i w:val="0"/>
          <w:sz w:val="20"/>
        </w:rPr>
        <w:t>Internal Reference Document  |  Version 3.0  |  May 2026</w:t>
      </w:r>
    </w:p>
    <w:p>
      <w:pPr>
        <w:spacing w:after="80"/>
      </w:pPr>
      <w:r>
        <w:rPr>
          <w:b w:val="0"/>
          <w:i w:val="0"/>
          <w:sz w:val="20"/>
        </w:rPr>
        <w:t>Reg. No: 2026/340128/07  |  CIPC Registered 29 April 2026  |  Director: David Maurice Conradie</w:t>
      </w:r>
    </w:p>
    <w:p>
      <w:pPr>
        <w:spacing w:after="160"/>
      </w:pPr>
      <w:r>
        <w:rPr>
          <w:b/>
          <w:i w:val="0"/>
          <w:color w:val="2E5A88"/>
          <w:sz w:val="20"/>
        </w:rPr>
        <w:t>CONFIDENTIAL — Internal Strategy Document</w:t>
      </w:r>
    </w:p>
    <w:p>
      <w:pPr>
        <w:pStyle w:val="Heading1"/>
      </w:pPr>
      <w:r>
        <w:t>1. Filing Sequence &amp; Steps</w:t>
      </w:r>
    </w:p>
    <w:tbl>
      <w:tblPr>
        <w:tblStyle w:val="TableGrid"/>
        <w:tblW w:type="auto" w:w="0"/>
        <w:jc w:val="center"/>
        <w:tblLook w:firstColumn="1" w:firstRow="1" w:lastColumn="0" w:lastRow="0" w:noHBand="0" w:noVBand="1" w:val="04A0"/>
      </w:tblPr>
      <w:tblGrid>
        <w:gridCol w:w="9360"/>
      </w:tblGrid>
      <w:tr>
        <w:tc>
          <w:tcPr>
            <w:tcW w:type="dxa" w:w="9360"/>
            <w:shd w:val="clear" w:color="auto" w:fill="FCE4E4"/>
          </w:tcPr>
          <w:p>
            <w:pPr>
              <w:spacing w:after="80"/>
            </w:pPr>
            <w:r>
              <w:rPr>
                <w:b/>
                <w:sz w:val="21"/>
              </w:rPr>
              <w:t>CRITICAL: PUBLISH BEFORE FILING = LOSS OF PATENT RIGHTS</w:t>
            </w:r>
          </w:p>
          <w:p>
            <w:pPr>
              <w:spacing w:after="80"/>
            </w:pPr>
            <w:r>
              <w:rPr>
                <w:b w:val="0"/>
                <w:sz w:val="21"/>
              </w:rPr>
              <w:t>Publishing the whitepaper or disclosing the platform publicly before filing a provisional patent may permanently destroy international patent rights. South Africa provides a 6-month grace period for the inventor's own disclosures, but the USA, EU, and most major jurisdictions are either strict or have limited grace periods.</w:t>
            </w:r>
          </w:p>
          <w:p>
            <w:pPr>
              <w:spacing w:after="80"/>
            </w:pPr>
            <w:r>
              <w:rPr>
                <w:b w:val="0"/>
                <w:sz w:val="21"/>
              </w:rPr>
              <w:t>The five timestamp authorities in the whitepaper establish a prior art date — they do NOT replace formal patent filing.</w:t>
            </w:r>
          </w:p>
          <w:p>
            <w:pPr>
              <w:spacing w:after="80"/>
            </w:pPr>
            <w:r>
              <w:rPr>
                <w:b/>
                <w:sz w:val="21"/>
              </w:rPr>
              <w:t>Correct sequence: File provisional patent first -&gt; File trademark -&gt; THEN publish whitepaper publicly.</w:t>
            </w:r>
          </w:p>
        </w:tc>
      </w:tr>
    </w:tbl>
    <w:p>
      <w:pPr>
        <w:spacing w:after="60"/>
      </w:pPr>
    </w:p>
    <w:tbl>
      <w:tblPr>
        <w:tblStyle w:val="TableGrid"/>
        <w:tblW w:type="auto" w:w="0"/>
        <w:jc w:val="center"/>
        <w:tblLook w:firstColumn="1" w:firstRow="1" w:lastColumn="0" w:lastRow="0" w:noHBand="0" w:noVBand="1" w:val="04A0"/>
      </w:tblPr>
      <w:tblGrid>
        <w:gridCol w:w="3120"/>
        <w:gridCol w:w="3120"/>
        <w:gridCol w:w="3120"/>
      </w:tblGrid>
      <w:tr>
        <w:tc>
          <w:tcPr>
            <w:tcW w:type="dxa" w:w="1100"/>
            <w:shd w:val="clear" w:color="auto" w:fill="2E5A88"/>
          </w:tcPr>
          <w:p>
            <w:r>
              <w:rPr>
                <w:b/>
                <w:color w:val="FFFFFF"/>
                <w:sz w:val="21"/>
              </w:rPr>
              <w:t>Step</w:t>
            </w:r>
          </w:p>
        </w:tc>
        <w:tc>
          <w:tcPr>
            <w:tcW w:type="dxa" w:w="2600"/>
            <w:shd w:val="clear" w:color="auto" w:fill="2E5A88"/>
          </w:tcPr>
          <w:p>
            <w:r>
              <w:rPr>
                <w:b/>
                <w:color w:val="FFFFFF"/>
                <w:sz w:val="21"/>
              </w:rPr>
              <w:t>Timing &amp; Action</w:t>
            </w:r>
          </w:p>
        </w:tc>
        <w:tc>
          <w:tcPr>
            <w:tcW w:type="dxa" w:w="5660"/>
            <w:shd w:val="clear" w:color="auto" w:fill="2E5A88"/>
          </w:tcPr>
          <w:p>
            <w:r>
              <w:rPr>
                <w:b/>
                <w:color w:val="FFFFFF"/>
                <w:sz w:val="21"/>
              </w:rPr>
              <w:t>Detail</w:t>
            </w:r>
          </w:p>
        </w:tc>
      </w:tr>
      <w:tr>
        <w:tc>
          <w:tcPr>
            <w:tcW w:type="dxa" w:w="1100"/>
          </w:tcPr>
          <w:p>
            <w:r>
              <w:rPr>
                <w:sz w:val="21"/>
              </w:rPr>
              <w:t>Step 1</w:t>
            </w:r>
          </w:p>
        </w:tc>
        <w:tc>
          <w:tcPr>
            <w:tcW w:type="dxa" w:w="2600"/>
          </w:tcPr>
          <w:p>
            <w:r>
              <w:rPr>
                <w:sz w:val="21"/>
              </w:rPr>
              <w:t>Before Day 0 — SA Provisional Patent (Immediate Action)</w:t>
            </w:r>
          </w:p>
        </w:tc>
        <w:tc>
          <w:tcPr>
            <w:tcW w:type="dxa" w:w="5660"/>
          </w:tcPr>
          <w:p>
            <w:r>
              <w:rPr>
                <w:sz w:val="21"/>
              </w:rPr>
              <w:t>File via iponline.cipc.co.za on or before the public launch date (Day 0). Locks the priority date; gives 12 months to prepare the full application. Receipt of filing is immediate and constitutes dated proof. 9 claims to be protected (see Section 2). Pre-filing consultation and erratum (May 2026) available for instructed attorney review. IMPORTANT: Engage patent attorney before filing — poorly drafted provisional loses international rights.</w:t>
            </w:r>
          </w:p>
        </w:tc>
      </w:tr>
      <w:tr>
        <w:tc>
          <w:tcPr>
            <w:tcW w:type="dxa" w:w="1100"/>
          </w:tcPr>
          <w:p>
            <w:r>
              <w:rPr>
                <w:sz w:val="21"/>
              </w:rPr>
              <w:t>Step 2</w:t>
            </w:r>
          </w:p>
        </w:tc>
        <w:tc>
          <w:tcPr>
            <w:tcW w:type="dxa" w:w="2600"/>
          </w:tcPr>
          <w:p>
            <w:r>
              <w:rPr>
                <w:sz w:val="21"/>
              </w:rPr>
              <w:t>Day 0 — SA Trademark (Same Day as Provisional)</w:t>
            </w:r>
          </w:p>
        </w:tc>
        <w:tc>
          <w:tcPr>
            <w:tcW w:type="dxa" w:w="5660"/>
          </w:tcPr>
          <w:p>
            <w:r>
              <w:rPr>
                <w:sz w:val="21"/>
              </w:rPr>
              <w:t>File via iponline.cipc.co.za under three Nice Classifications: Class 35 (advertising, business management, online marketplace services); Class 36 (financial services, electronic payment, digital currency exchange); Class 42 (software as a service, platform as a service, technology services). SA trademark registration: 18-36 months but protection runs from filing date. Madrid Protocol filing for international coverage within 12 months of SA filing.</w:t>
            </w:r>
          </w:p>
        </w:tc>
      </w:tr>
      <w:tr>
        <w:tc>
          <w:tcPr>
            <w:tcW w:type="dxa" w:w="1100"/>
          </w:tcPr>
          <w:p>
            <w:r>
              <w:rPr>
                <w:sz w:val="21"/>
              </w:rPr>
              <w:t>Step 3</w:t>
            </w:r>
          </w:p>
        </w:tc>
        <w:tc>
          <w:tcPr>
            <w:tcW w:type="dxa" w:w="2600"/>
          </w:tcPr>
          <w:p>
            <w:r>
              <w:rPr>
                <w:sz w:val="21"/>
              </w:rPr>
              <w:t>Month 11 (target: April 2027) — PCT International Application</w:t>
            </w:r>
          </w:p>
        </w:tc>
        <w:tc>
          <w:tcPr>
            <w:tcW w:type="dxa" w:w="5660"/>
          </w:tcPr>
          <w:p>
            <w:r>
              <w:rPr>
                <w:sz w:val="21"/>
              </w:rPr>
              <w:t>File PCT via WIPO no later than Month 11 from provisional date. Extends international priority date protection. Gives up to 30 months from provisional filing to elect national phase countries. International Search Report (ISR) received ~6 months after PCT filing — critical intelligence. Confirm with attorney: file PCT via CIPC (cheaper) or direct WIPO filing.</w:t>
            </w:r>
          </w:p>
        </w:tc>
      </w:tr>
      <w:tr>
        <w:tc>
          <w:tcPr>
            <w:tcW w:type="dxa" w:w="1100"/>
          </w:tcPr>
          <w:p>
            <w:r>
              <w:rPr>
                <w:sz w:val="21"/>
              </w:rPr>
              <w:t>Step 4</w:t>
            </w:r>
          </w:p>
        </w:tc>
        <w:tc>
          <w:tcPr>
            <w:tcW w:type="dxa" w:w="2600"/>
          </w:tcPr>
          <w:p>
            <w:r>
              <w:rPr>
                <w:sz w:val="21"/>
              </w:rPr>
              <w:t>By Month 30 (target: October 2028) — National Phase Entries</w:t>
            </w:r>
          </w:p>
        </w:tc>
        <w:tc>
          <w:tcPr>
            <w:tcW w:type="dxa" w:w="5660"/>
          </w:tcPr>
          <w:p>
            <w:r>
              <w:rPr>
                <w:sz w:val="21"/>
              </w:rPr>
              <w:t>Recommended priority: South Africa (home market, required), USA (largest single market), EU via EPO (38 countries), UK (separate from EPO post-Brexit), Kenya / Nigeria (African expansion pathway). Small entity applicants may qualify for 60% reduction on WIPO PCT filing fees — confirm eligibility with attorney.</w:t>
            </w:r>
          </w:p>
        </w:tc>
      </w:tr>
    </w:tbl>
    <w:p>
      <w:pPr>
        <w:spacing w:after="60"/>
      </w:pPr>
    </w:p>
    <w:p>
      <w:pPr>
        <w:pStyle w:val="Heading1"/>
      </w:pPr>
      <w:r>
        <w:t>2. The 9 Patent Claims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00"/>
            <w:shd w:val="clear" w:color="auto" w:fill="2E5A88"/>
          </w:tcPr>
          <w:p>
            <w:r>
              <w:rPr>
                <w:b/>
                <w:color w:val="FFFFFF"/>
                <w:sz w:val="21"/>
              </w:rPr>
              <w:t>#</w:t>
            </w:r>
          </w:p>
        </w:tc>
        <w:tc>
          <w:tcPr>
            <w:tcW w:type="dxa" w:w="2900"/>
            <w:shd w:val="clear" w:color="auto" w:fill="2E5A88"/>
          </w:tcPr>
          <w:p>
            <w:r>
              <w:rPr>
                <w:b/>
                <w:color w:val="FFFFFF"/>
                <w:sz w:val="21"/>
              </w:rPr>
              <w:t>Claim</w:t>
            </w:r>
          </w:p>
        </w:tc>
        <w:tc>
          <w:tcPr>
            <w:tcW w:type="dxa" w:w="1100"/>
            <w:shd w:val="clear" w:color="auto" w:fill="2E5A88"/>
          </w:tcPr>
          <w:p>
            <w:r>
              <w:rPr>
                <w:b/>
                <w:color w:val="FFFFFF"/>
                <w:sz w:val="21"/>
              </w:rPr>
              <w:t>Strength</w:t>
            </w:r>
          </w:p>
        </w:tc>
        <w:tc>
          <w:tcPr>
            <w:tcW w:type="dxa" w:w="4660"/>
            <w:shd w:val="clear" w:color="auto" w:fill="2E5A88"/>
          </w:tcPr>
          <w:p>
            <w:r>
              <w:rPr>
                <w:b/>
                <w:color w:val="FFFFFF"/>
                <w:sz w:val="21"/>
              </w:rPr>
              <w:t>v3.0 Change</w:t>
            </w:r>
          </w:p>
        </w:tc>
      </w:tr>
      <w:tr>
        <w:tc>
          <w:tcPr>
            <w:tcW w:type="dxa" w:w="700"/>
          </w:tcPr>
          <w:p>
            <w:r>
              <w:rPr>
                <w:sz w:val="21"/>
              </w:rPr>
              <w:t>C1</w:t>
            </w:r>
          </w:p>
        </w:tc>
        <w:tc>
          <w:tcPr>
            <w:tcW w:type="dxa" w:w="2900"/>
          </w:tcPr>
          <w:p>
            <w:r>
              <w:rPr>
                <w:sz w:val="21"/>
              </w:rPr>
              <w:t>Unified Participation Model</w:t>
            </w:r>
          </w:p>
        </w:tc>
        <w:tc>
          <w:tcPr>
            <w:tcW w:type="dxa" w:w="1100"/>
          </w:tcPr>
          <w:p>
            <w:r>
              <w:rPr>
                <w:sz w:val="21"/>
              </w:rPr>
              <w:t>STRONG</w:t>
            </w:r>
          </w:p>
        </w:tc>
        <w:tc>
          <w:tcPr>
            <w:tcW w:type="dxa" w:w="4660"/>
          </w:tcPr>
          <w:p>
            <w:r>
              <w:rPr>
                <w:sz w:val="21"/>
              </w:rPr>
              <w:t>Unchanged. Pre-filing memo recommends Claim 1 redraft to emphasise technical authorisation mechanism (not DB normalisation). Action for counsel.</w:t>
            </w:r>
          </w:p>
        </w:tc>
      </w:tr>
      <w:tr>
        <w:tc>
          <w:tcPr>
            <w:tcW w:type="dxa" w:w="700"/>
          </w:tcPr>
          <w:p>
            <w:r>
              <w:rPr>
                <w:sz w:val="21"/>
              </w:rPr>
              <w:t>C2</w:t>
            </w:r>
          </w:p>
        </w:tc>
        <w:tc>
          <w:tcPr>
            <w:tcW w:type="dxa" w:w="2900"/>
          </w:tcPr>
          <w:p>
            <w:r>
              <w:rPr>
                <w:sz w:val="21"/>
              </w:rPr>
              <w:t>Tuppence Introduction Currency</w:t>
            </w:r>
          </w:p>
        </w:tc>
        <w:tc>
          <w:tcPr>
            <w:tcW w:type="dxa" w:w="1100"/>
          </w:tcPr>
          <w:p>
            <w:r>
              <w:rPr>
                <w:sz w:val="21"/>
              </w:rPr>
              <w:t>STRONG</w:t>
            </w:r>
          </w:p>
        </w:tc>
        <w:tc>
          <w:tcPr>
            <w:tcW w:type="dxa" w:w="4660"/>
          </w:tcPr>
          <w:p>
            <w:r>
              <w:rPr>
                <w:sz w:val="21"/>
              </w:rPr>
              <w:t>Banks Act NO RISK confirmed (Erratum 2026-05-12). Strictly non-refundable — load-bearing for novelty. v3.0: add express referral/commission distinction (Element 2A) — buyer-paid, fixed/non-proportional, pre-introduction, outcome-independent, non-refundable, paid blind into anonymity. Anonymity + non-refundable charge are inseparable. See Sec 3.5.</w:t>
            </w:r>
          </w:p>
        </w:tc>
      </w:tr>
      <w:tr>
        <w:tc>
          <w:tcPr>
            <w:tcW w:type="dxa" w:w="700"/>
          </w:tcPr>
          <w:p>
            <w:r>
              <w:rPr>
                <w:sz w:val="21"/>
              </w:rPr>
              <w:t>C3</w:t>
            </w:r>
          </w:p>
        </w:tc>
        <w:tc>
          <w:tcPr>
            <w:tcW w:type="dxa" w:w="2900"/>
          </w:tcPr>
          <w:p>
            <w:r>
              <w:rPr>
                <w:sz w:val="21"/>
              </w:rPr>
              <w:t>Anonymous Introduction Protocol</w:t>
            </w:r>
          </w:p>
        </w:tc>
        <w:tc>
          <w:tcPr>
            <w:tcW w:type="dxa" w:w="1100"/>
          </w:tcPr>
          <w:p>
            <w:r>
              <w:rPr>
                <w:sz w:val="21"/>
              </w:rPr>
              <w:t>STRONG</w:t>
            </w:r>
          </w:p>
        </w:tc>
        <w:tc>
          <w:tcPr>
            <w:tcW w:type="dxa" w:w="4660"/>
          </w:tcPr>
          <w:p>
            <w:r>
              <w:rPr>
                <w:sz w:val="21"/>
              </w:rPr>
              <w:t>Unchanged. Combination gate + bilateral simultaneous disclosure remains core novel element.</w:t>
            </w:r>
          </w:p>
        </w:tc>
      </w:tr>
      <w:tr>
        <w:tc>
          <w:tcPr>
            <w:tcW w:type="dxa" w:w="700"/>
          </w:tcPr>
          <w:p>
            <w:r>
              <w:rPr>
                <w:sz w:val="21"/>
              </w:rPr>
              <w:t>C4</w:t>
            </w:r>
          </w:p>
        </w:tc>
        <w:tc>
          <w:tcPr>
            <w:tcW w:type="dxa" w:w="2900"/>
          </w:tcPr>
          <w:p>
            <w:r>
              <w:rPr>
                <w:sz w:val="21"/>
              </w:rPr>
              <w:t>Trust Score Composite</w:t>
            </w:r>
          </w:p>
        </w:tc>
        <w:tc>
          <w:tcPr>
            <w:tcW w:type="dxa" w:w="1100"/>
          </w:tcPr>
          <w:p>
            <w:r>
              <w:rPr>
                <w:sz w:val="21"/>
              </w:rPr>
              <w:t>SOLID</w:t>
            </w:r>
          </w:p>
        </w:tc>
        <w:tc>
          <w:tcPr>
            <w:tcW w:type="dxa" w:w="4660"/>
          </w:tcPr>
          <w:p>
            <w:r>
              <w:rPr>
                <w:sz w:val="21"/>
              </w:rPr>
              <w:t>Unchanged. Penalty mechanism (A8: no Tuppence deducted as penalty) noted in claim language.</w:t>
            </w:r>
          </w:p>
        </w:tc>
      </w:tr>
      <w:tr>
        <w:tc>
          <w:tcPr>
            <w:tcW w:type="dxa" w:w="700"/>
          </w:tcPr>
          <w:p>
            <w:r>
              <w:rPr>
                <w:sz w:val="21"/>
              </w:rPr>
              <w:t>C5</w:t>
            </w:r>
          </w:p>
        </w:tc>
        <w:tc>
          <w:tcPr>
            <w:tcW w:type="dxa" w:w="2900"/>
          </w:tcPr>
          <w:p>
            <w:r>
              <w:rPr>
                <w:sz w:val="21"/>
              </w:rPr>
              <w:t>Geo-Hierarchical Visibility Gating</w:t>
            </w:r>
          </w:p>
        </w:tc>
        <w:tc>
          <w:tcPr>
            <w:tcW w:type="dxa" w:w="1100"/>
          </w:tcPr>
          <w:p>
            <w:r>
              <w:rPr>
                <w:sz w:val="21"/>
              </w:rPr>
              <w:t>SOLID</w:t>
            </w:r>
          </w:p>
        </w:tc>
        <w:tc>
          <w:tcPr>
            <w:tcW w:type="dxa" w:w="4660"/>
          </w:tcPr>
          <w:p>
            <w:r>
              <w:rPr>
                <w:sz w:val="21"/>
              </w:rPr>
              <w:t>Unchanged. 5-tier subscription maps to geo visibility tiers.</w:t>
            </w:r>
          </w:p>
        </w:tc>
      </w:tr>
      <w:tr>
        <w:tc>
          <w:tcPr>
            <w:tcW w:type="dxa" w:w="700"/>
          </w:tcPr>
          <w:p>
            <w:r>
              <w:rPr>
                <w:sz w:val="21"/>
              </w:rPr>
              <w:t>C6</w:t>
            </w:r>
          </w:p>
        </w:tc>
        <w:tc>
          <w:tcPr>
            <w:tcW w:type="dxa" w:w="2900"/>
          </w:tcPr>
          <w:p>
            <w:r>
              <w:rPr>
                <w:sz w:val="21"/>
              </w:rPr>
              <w:t>Founding Seller Cohort</w:t>
            </w:r>
          </w:p>
        </w:tc>
        <w:tc>
          <w:tcPr>
            <w:tcW w:type="dxa" w:w="1100"/>
          </w:tcPr>
          <w:p>
            <w:r>
              <w:rPr>
                <w:sz w:val="21"/>
              </w:rPr>
              <w:t>SOLID</w:t>
            </w:r>
          </w:p>
        </w:tc>
        <w:tc>
          <w:tcPr>
            <w:tcW w:type="dxa" w:w="4660"/>
          </w:tcPr>
          <w:p>
            <w:r>
              <w:rPr>
                <w:sz w:val="21"/>
              </w:rPr>
              <w:t>Unchanged.</w:t>
            </w:r>
          </w:p>
        </w:tc>
      </w:tr>
      <w:tr>
        <w:tc>
          <w:tcPr>
            <w:tcW w:type="dxa" w:w="700"/>
          </w:tcPr>
          <w:p>
            <w:r>
              <w:rPr>
                <w:sz w:val="21"/>
              </w:rPr>
              <w:t>C7</w:t>
            </w:r>
          </w:p>
        </w:tc>
        <w:tc>
          <w:tcPr>
            <w:tcW w:type="dxa" w:w="2900"/>
          </w:tcPr>
          <w:p>
            <w:r>
              <w:rPr>
                <w:sz w:val="21"/>
              </w:rPr>
              <w:t>Combination Claim (EXPANDED)</w:t>
            </w:r>
          </w:p>
        </w:tc>
        <w:tc>
          <w:tcPr>
            <w:tcW w:type="dxa" w:w="1100"/>
          </w:tcPr>
          <w:p>
            <w:r>
              <w:rPr>
                <w:sz w:val="21"/>
              </w:rPr>
              <w:t>STRONG</w:t>
            </w:r>
          </w:p>
        </w:tc>
        <w:tc>
          <w:tcPr>
            <w:tcW w:type="dxa" w:w="4660"/>
          </w:tcPr>
          <w:p>
            <w:r>
              <w:rPr>
                <w:sz w:val="21"/>
              </w:rPr>
              <w:t>Encompasses 5-tier subscription slot enforcement, AI Services Layer (10 services, Tuppence-gated), AI Guardrail Architecture (existence gate + spend register). See Section 3.</w:t>
            </w:r>
          </w:p>
        </w:tc>
      </w:tr>
      <w:tr>
        <w:tc>
          <w:tcPr>
            <w:tcW w:type="dxa" w:w="700"/>
          </w:tcPr>
          <w:p>
            <w:r>
              <w:rPr>
                <w:sz w:val="21"/>
              </w:rPr>
              <w:t>C8</w:t>
            </w:r>
          </w:p>
        </w:tc>
        <w:tc>
          <w:tcPr>
            <w:tcW w:type="dxa" w:w="2900"/>
          </w:tcPr>
          <w:p>
            <w:r>
              <w:rPr>
                <w:sz w:val="21"/>
              </w:rPr>
              <w:t>Heritage Content Linking (dep. C1)</w:t>
            </w:r>
          </w:p>
        </w:tc>
        <w:tc>
          <w:tcPr>
            <w:tcW w:type="dxa" w:w="1100"/>
          </w:tcPr>
          <w:p>
            <w:r>
              <w:rPr>
                <w:sz w:val="21"/>
              </w:rPr>
              <w:t>SOLID</w:t>
            </w:r>
          </w:p>
        </w:tc>
        <w:tc>
          <w:tcPr>
            <w:tcW w:type="dxa" w:w="4660"/>
          </w:tcPr>
          <w:p>
            <w:r>
              <w:rPr>
                <w:sz w:val="21"/>
              </w:rPr>
              <w:t>v3.0: REFRAMED — the claim is the METHOD (seller-linked structured place-metadata as non-transactional overlay + automatic proximity/category linking), NOT any catalogue size or link count. Site count and cap are non-limiting implementation detail kept in the Whitepaper only. Awaiting counsel review.</w:t>
            </w:r>
          </w:p>
        </w:tc>
      </w:tr>
      <w:tr>
        <w:tc>
          <w:tcPr>
            <w:tcW w:type="dxa" w:w="700"/>
          </w:tcPr>
          <w:p>
            <w:r>
              <w:rPr>
                <w:sz w:val="21"/>
              </w:rPr>
              <w:t>C9</w:t>
            </w:r>
          </w:p>
        </w:tc>
        <w:tc>
          <w:tcPr>
            <w:tcW w:type="dxa" w:w="2900"/>
          </w:tcPr>
          <w:p>
            <w:r>
              <w:rPr>
                <w:sz w:val="21"/>
              </w:rPr>
              <w:t>AI-Mediated Inbound Communication Triage</w:t>
            </w:r>
          </w:p>
        </w:tc>
        <w:tc>
          <w:tcPr>
            <w:tcW w:type="dxa" w:w="1100"/>
          </w:tcPr>
          <w:p>
            <w:r>
              <w:rPr>
                <w:sz w:val="21"/>
              </w:rPr>
              <w:t>STRONG</w:t>
            </w:r>
          </w:p>
        </w:tc>
        <w:tc>
          <w:tcPr>
            <w:tcW w:type="dxa" w:w="4660"/>
          </w:tcPr>
          <w:p>
            <w:r>
              <w:rPr>
                <w:sz w:val="21"/>
              </w:rPr>
              <w:t>NEW v3.0: AI email triage / autonomous support response (Session 94). Secret-auth edge ingestion gate + LLM structured classification + conservative conjunctive auto-send gate. See Sec 3.4. File as new independent claim or fold into C7 — counsel to advise.</w:t>
            </w:r>
          </w:p>
        </w:tc>
      </w:tr>
    </w:tbl>
    <w:p>
      <w:pPr>
        <w:spacing w:after="60"/>
      </w:pPr>
    </w:p>
    <w:p>
      <w:pPr>
        <w:pStyle w:val="Heading1"/>
      </w:pPr>
      <w:r>
        <w:t>3. New Patentable Elements</w:t>
      </w:r>
    </w:p>
    <w:p>
      <w:pPr>
        <w:pStyle w:val="Heading2"/>
      </w:pPr>
      <w:r>
        <w:t>3.1 AI Services Layer (Sessions 73-90)</w:t>
      </w:r>
    </w:p>
    <w:p>
      <w:pPr>
        <w:spacing w:after="160"/>
      </w:pPr>
      <w:r>
        <w:rPr>
          <w:b w:val="0"/>
          <w:i w:val="0"/>
          <w:sz w:val="21"/>
        </w:rPr>
        <w:t>10 AI-powered services gated by Tuppence micro-payment (1-3T per service). Services: AI Listing Rewrite (AI1), Seller Audit (AI2), Buyer Price Check (AI3), Yield Calculator (AI4), Batch Card Listings via Vision AI (AI5), Batch Coin Listings via Vision AI (AI6), Estate Agent Portfolio Import (AI7), Activity Log (AI8, free), Financial Statement (AI9), Monthly Performance Report (AI10).</w:t>
      </w:r>
    </w:p>
    <w:p>
      <w:pPr>
        <w:spacing w:after="160"/>
      </w:pPr>
      <w:r>
        <w:rPr>
          <w:b w:val="0"/>
          <w:i w:val="0"/>
          <w:sz w:val="21"/>
        </w:rPr>
        <w:t>The combination of non-refundable commitment currency (Tuppence) applied not just to introductions but also to AI service access within the same platform creates a novel dual-use commitment architecture not present in any known prior art.</w:t>
      </w:r>
    </w:p>
    <w:p>
      <w:pPr>
        <w:pStyle w:val="Heading2"/>
      </w:pPr>
      <w:r>
        <w:t>3.2 AI Guardrail Architecture (Session 90)</w:t>
      </w:r>
    </w:p>
    <w:p>
      <w:pPr>
        <w:spacing w:after="160"/>
      </w:pPr>
      <w:r>
        <w:rPr>
          <w:b w:val="0"/>
          <w:i w:val="0"/>
          <w:sz w:val="21"/>
        </w:rPr>
        <w:t>Existence gate: an indexed database lookup confirming that the requesting email corresponds to a registered user is performed before any Anthropic API call. Unknown emails receive HTTP 401. Latency: ~0.1ms. Zero UX impact for registered users. This is a technical implementation claim — not an abstract business method.</w:t>
      </w:r>
    </w:p>
    <w:p>
      <w:pPr>
        <w:spacing w:after="160"/>
      </w:pPr>
      <w:r>
        <w:rPr>
          <w:b w:val="0"/>
          <w:i w:val="0"/>
          <w:sz w:val="21"/>
        </w:rPr>
        <w:t>Spend register: ai_spend_log table records every AI call. ai_spend_config singleton stores income threshold configuration. Non-blocking BackgroundTasks worker fires income-linked webhook alert when monthly AI spend exceeds configured percentage of platform income. Alert fires at most once per day. Never blocks or throttles user requests.</w:t>
      </w:r>
    </w:p>
    <w:p>
      <w:pPr>
        <w:spacing w:after="160"/>
      </w:pPr>
      <w:r>
        <w:rPr>
          <w:b w:val="0"/>
          <w:i w:val="0"/>
          <w:sz w:val="21"/>
        </w:rPr>
        <w:t>The combination of (a) existence-gated API access, (b) non-blocking spend logging, and (c) income-proportional threshold alerting as an integrated safety architecture for an AI-mediated marketplace is not implemented in known prior art.</w:t>
      </w:r>
    </w:p>
    <w:p>
      <w:pPr>
        <w:pStyle w:val="Heading2"/>
      </w:pPr>
      <w:r>
        <w:t>3.3 Subscription Tier Slot Enforcement (Session 91)</w:t>
      </w:r>
    </w:p>
    <w:p>
      <w:pPr>
        <w:spacing w:after="160"/>
      </w:pPr>
      <w:r>
        <w:rPr>
          <w:b w:val="0"/>
          <w:i w:val="0"/>
          <w:sz w:val="21"/>
        </w:rPr>
        <w:t>Five-tier subscription model (Free $0/2 slots, Standard $12/10, Professional $20/25, Business $40/60, Elite $100/500). Slot limit is enforced server-side at publish time by the BEA (HTTP 402 on limit breach). Downgrade requests are queued to end-of-billing-period and blocked if active listing count exceeds target tier limit. Tuppence per-introduction cost is architecturally separate from slot pricing — the two are never combined.</w:t>
      </w:r>
    </w:p>
    <w:p>
      <w:pPr>
        <w:spacing w:after="160"/>
      </w:pPr>
      <w:r>
        <w:rPr>
          <w:b w:val="0"/>
          <w:i w:val="0"/>
          <w:sz w:val="21"/>
        </w:rPr>
        <w:t>The architectural separation of listing slot access (subscription) from introduction commitment (Tuppence) in a single platform, with server-side enforcement at publish time, is a novel technical design element.</w:t>
      </w:r>
    </w:p>
    <w:p>
      <w:pPr>
        <w:pStyle w:val="Heading2"/>
      </w:pPr>
      <w:r>
        <w:t>3.4 AI-Mediated Inbound Communication Triage (Session 94 — NEW in v3.0)</w:t>
      </w:r>
    </w:p>
    <w:p>
      <w:pPr>
        <w:spacing w:after="160"/>
      </w:pPr>
      <w:r>
        <w:rPr>
          <w:b w:val="0"/>
          <w:i w:val="0"/>
          <w:sz w:val="21"/>
        </w:rPr>
        <w:t>TrustSquare operates an autonomous inbound-email triage and conditional-response system. Inbound mail to platform mailboxes is parsed by a Cloudflare Email Worker (postal-mime) and POSTed to a backend endpoint (POST /email/inbound) authenticated by a shared secret header (X-Inbound-Secret / EMAIL_INBOUND_SECRET); unauthenticated calls receive HTTP 401, and the endpoint refuses all calls (HTTP 503) when the secret is unconfigured. The worker also forwards a safety-net copy to a human inbox and is engineered never to bounce mail.</w:t>
      </w:r>
    </w:p>
    <w:p>
      <w:pPr>
        <w:spacing w:after="160"/>
      </w:pPr>
      <w:r>
        <w:rPr>
          <w:b w:val="0"/>
          <w:i w:val="0"/>
          <w:sz w:val="21"/>
        </w:rPr>
        <w:t>The backend calls Claude Haiku under a constrained system prompt that returns strict JSON {category, urgency, draft_reply, auto_safe}. The prompt encodes platform invariants directly: never reveal seller identities, and never promise refunds (Tuppence is strictly non-refundable). The classification call is logged in the Session-90 AI spend register.</w:t>
      </w:r>
    </w:p>
    <w:p>
      <w:pPr>
        <w:spacing w:after="160"/>
      </w:pPr>
      <w:r>
        <w:rPr>
          <w:b w:val="0"/>
          <w:i w:val="0"/>
          <w:sz w:val="21"/>
        </w:rPr>
        <w:t>A reply is auto-sent only when ALL hold conjunctively: operator flag EMAIL_AUTO_SEND=1, a configured sending credential, model auto_safe=true, category within the allow-list {support, billing}, and a non-empty draft. Default is draft-only. Legal, compliance, disputes, threats, and ambiguous mail are always held as drafts; spam is skipped. Permitted replies are sent via threaded SMTP (587 STARTTLS). Every message is persisted to an email_triage audit table; ops review via GET /admin/email-triage and an obscure-URL dashboard panel.</w:t>
      </w:r>
    </w:p>
    <w:tbl>
      <w:tblPr>
        <w:tblStyle w:val="TableGrid"/>
        <w:tblW w:type="auto" w:w="0"/>
        <w:jc w:val="center"/>
        <w:tblLook w:firstColumn="1" w:firstRow="1" w:lastColumn="0" w:lastRow="0" w:noHBand="0" w:noVBand="1" w:val="04A0"/>
      </w:tblPr>
      <w:tblGrid>
        <w:gridCol w:w="9360"/>
      </w:tblGrid>
      <w:tr>
        <w:tc>
          <w:tcPr>
            <w:tcW w:type="dxa" w:w="9360"/>
            <w:shd w:val="clear" w:color="auto" w:fill="F2F6FA"/>
          </w:tcPr>
          <w:p>
            <w:pPr>
              <w:spacing w:after="80"/>
            </w:pPr>
            <w:r>
              <w:rPr>
                <w:b w:val="0"/>
                <w:sz w:val="21"/>
              </w:rPr>
              <w:t>Why this is novel: the conservative auto-send gate requires the conjunction of a model self-assessment (auto_safe) AND an independent hard category allow-list before any autonomous reply — so a model false-positive alone cannot trigger a send — while legal/compliance/ambiguous mail is structurally withheld and the platform's anonymity and non-refundable-currency invariants are encoded directly into the model's response constraints. This combination is not implemented in known prior art and is a direct extension of the existence-gate philosophy of the AI Guardrail Architecture (3.2).</w:t>
            </w:r>
          </w:p>
        </w:tc>
      </w:tr>
    </w:tbl>
    <w:p>
      <w:pPr>
        <w:spacing w:after="60"/>
      </w:pPr>
    </w:p>
    <w:p>
      <w:pPr>
        <w:pStyle w:val="Heading2"/>
      </w:pPr>
      <w:r>
        <w:t>3.5 Referral-Fee Distinction &amp; Heritage Method Framing (NEW in v3.0)</w:t>
      </w:r>
    </w:p>
    <w:p>
      <w:pPr>
        <w:spacing w:after="160"/>
      </w:pPr>
      <w:r>
        <w:rPr>
          <w:b w:val="0"/>
          <w:i w:val="0"/>
          <w:sz w:val="21"/>
        </w:rPr>
        <w:t>Two construction points are flagged for counsel as priority drafting instructions, because both go to the defensibility of the strongest claims against the most likely counter-arguments.</w:t>
      </w:r>
    </w:p>
    <w:tbl>
      <w:tblPr>
        <w:tblStyle w:val="TableGrid"/>
        <w:tblW w:type="auto" w:w="0"/>
        <w:jc w:val="center"/>
        <w:tblLook w:firstColumn="1" w:firstRow="1" w:lastColumn="0" w:lastRow="0" w:noHBand="0" w:noVBand="1" w:val="04A0"/>
      </w:tblPr>
      <w:tblGrid>
        <w:gridCol w:w="9360"/>
      </w:tblGrid>
      <w:tr>
        <w:tc>
          <w:tcPr>
            <w:tcW w:type="dxa" w:w="9360"/>
            <w:shd w:val="clear" w:color="auto" w:fill="F2F6FA"/>
          </w:tcPr>
          <w:p>
            <w:pPr>
              <w:spacing w:after="80"/>
            </w:pPr>
            <w:r>
              <w:rPr>
                <w:b/>
                <w:sz w:val="21"/>
              </w:rPr>
              <w:t>(a) Intro fee is NOT a referral/commission fee. The most predictable invalidity/non-infringement attack on Claim 2 is 'this is just a referral or finder's fee.' It is not, on every structural axis: the charge is BUYER-paid (not seller), FIXED (never a percentage of price or value), consumed BEFORE any introduction, OUTCOME-INDEPENDENT (owed even if no deal ever results), NON-REFUNDABLE, and paid BLIND into mutual anonymity before the buyer knows the seller. A referral fee is the inverse on all six points. Counsel must draft Claim 2 with this distinction express (Element 2A in IP Brief v4) and treat the anonymity (Claim 3) and the non-refundable pre-introduction charge (Claim 2) as inseparable, mutually reinforcing elements — the fee is novel because spent blind; the anonymity has force because gated by an irreversible commitment. Non-refundability and the fixed (non-proportional) character are load-bearing and must never be softened.</w:t>
            </w:r>
          </w:p>
          <w:p>
            <w:pPr>
              <w:spacing w:after="80"/>
            </w:pPr>
            <w:r>
              <w:rPr>
                <w:b/>
                <w:sz w:val="21"/>
              </w:rPr>
              <w:t>(b) Heritage claim is a METHOD, not a catalogue. The protectable subject matter of Claim 8 is the method — seller-linked structured place-metadata surfaced as a non-transactional overlay on an anonymous listing, with automatic proximity-and-category linking. The number of sites in the corpus, the data source, and the link cap are implementation details and must NOT appear as claim limitations; they belong in the descriptive specification only. Drafting a count into the claim would invite narrowing and would make a routine data update look like it changes the protected scope.</w:t>
            </w:r>
          </w:p>
        </w:tc>
      </w:tr>
    </w:tbl>
    <w:p>
      <w:pPr>
        <w:spacing w:after="60"/>
      </w:pPr>
    </w:p>
    <w:p>
      <w:pPr>
        <w:pStyle w:val="Heading1"/>
      </w:pPr>
      <w:r>
        <w:t>4. Attorney Consultation (Priority Action)</w:t>
      </w:r>
    </w:p>
    <w:p>
      <w:pPr>
        <w:spacing w:after="160"/>
      </w:pPr>
      <w:r>
        <w:rPr>
          <w:b w:val="0"/>
          <w:i w:val="0"/>
          <w:sz w:val="21"/>
        </w:rPr>
        <w:t>Before filing, invest R3,000-R5,000 in a 90-minute consultation with a South African patent attorney specialising in software and platform IP.</w:t>
      </w:r>
    </w:p>
    <w:p>
      <w:pPr>
        <w:spacing w:after="160"/>
      </w:pPr>
      <w:r>
        <w:rPr>
          <w:b w:val="0"/>
          <w:i w:val="0"/>
          <w:sz w:val="21"/>
        </w:rPr>
        <w:t>Pre-filing consultation memorandum and erratum (May 2026) are available for instructed attorney review — these cover all original claims against the manner of manufacture test, Banks Act, USPTO 101/Alice, and EPO COMVIK doctrine. Attorney should also review the new elements described in Section 3 of this document (AI layer, guardrail architecture, slot enforcement, and the Session 94 email triage / autonomous-send method).</w:t>
      </w:r>
    </w:p>
    <w:p>
      <w:pPr>
        <w:spacing w:after="160"/>
      </w:pPr>
      <w:r>
        <w:rPr>
          <w:b w:val="0"/>
          <w:i w:val="0"/>
          <w:sz w:val="21"/>
        </w:rPr>
        <w:t>Recommended firms:</w:t>
      </w:r>
    </w:p>
    <w:p>
      <w:pPr>
        <w:pStyle w:val="ListBullet"/>
        <w:spacing w:after="100"/>
      </w:pPr>
      <w:r>
        <w:rPr>
          <w:sz w:val="21"/>
        </w:rPr>
        <w:t>Adams &amp; Adams — Pretoria (largest IP specialist firm in Africa)</w:t>
      </w:r>
    </w:p>
    <w:p>
      <w:pPr>
        <w:pStyle w:val="ListBullet"/>
        <w:spacing w:after="100"/>
      </w:pPr>
      <w:r>
        <w:rPr>
          <w:sz w:val="21"/>
        </w:rPr>
        <w:t>Spoor &amp; Fisher — Pretoria</w:t>
      </w:r>
    </w:p>
    <w:p>
      <w:pPr>
        <w:pStyle w:val="ListBullet"/>
        <w:spacing w:after="100"/>
      </w:pPr>
      <w:r>
        <w:rPr>
          <w:sz w:val="21"/>
        </w:rPr>
        <w:t>Bowmans — Johannesburg</w:t>
      </w:r>
    </w:p>
    <w:tbl>
      <w:tblPr>
        <w:tblStyle w:val="TableGrid"/>
        <w:tblW w:type="auto" w:w="0"/>
        <w:jc w:val="center"/>
        <w:tblLook w:firstColumn="1" w:firstRow="1" w:lastColumn="0" w:lastRow="0" w:noHBand="0" w:noVBand="1" w:val="04A0"/>
      </w:tblPr>
      <w:tblGrid>
        <w:gridCol w:w="9360"/>
      </w:tblGrid>
      <w:tr>
        <w:tc>
          <w:tcPr>
            <w:tcW w:type="dxa" w:w="9360"/>
            <w:shd w:val="clear" w:color="auto" w:fill="FFF4E0"/>
          </w:tcPr>
          <w:p>
            <w:pPr>
              <w:spacing w:after="80"/>
            </w:pPr>
            <w:r>
              <w:rPr>
                <w:b/>
                <w:sz w:val="21"/>
              </w:rPr>
              <w:t>Attorney Action Required — Claim 7 / Claim 9 Structure Decision</w:t>
            </w:r>
          </w:p>
          <w:p>
            <w:pPr>
              <w:spacing w:after="80"/>
            </w:pPr>
            <w:r>
              <w:rPr>
                <w:b w:val="0"/>
                <w:sz w:val="21"/>
              </w:rPr>
              <w:t>The AI Services Layer, AI Guardrail Architecture (Sessions 73-90), and the Session 94 AI email triage / autonomous-send method are substantial technical elements. Counsel must advise whether the email triage method should be: (A) filed as a new independent Claim 9 (AI-Mediated Inbound Communication Triage); (B) added to the expanded Claim 7 Combination Claim as sub-elements (d) secret-auth inbound gate and (e) conservative conjunctive auto-send gate; or (C) both.</w:t>
            </w:r>
          </w:p>
          <w:p>
            <w:pPr>
              <w:spacing w:after="80"/>
            </w:pPr>
            <w:r>
              <w:rPr>
                <w:b w:val="0"/>
                <w:sz w:val="21"/>
              </w:rPr>
              <w:t>The existence gate (indexed DB lookup as pre-condition to any AI API call) and the conservative auto-send gate (model self-assessment ∧ hard category allow-list) are both particularly strong as technical implementation claims under the 'manner of manufacture' test. Recommendation: file Claim 9 as a new independent claim, with the auto-send gate as its lead element.</w:t>
            </w:r>
          </w:p>
        </w:tc>
      </w:tr>
    </w:tbl>
    <w:p>
      <w:pPr>
        <w:spacing w:after="60"/>
      </w:pPr>
    </w:p>
    <w:p>
      <w:pPr>
        <w:pStyle w:val="Heading1"/>
      </w:pPr>
      <w:r>
        <w:t>5. Current Asset Status</w:t>
      </w:r>
    </w:p>
    <w:tbl>
      <w:tblPr>
        <w:tblStyle w:val="TableGrid"/>
        <w:tblW w:type="auto" w:w="0"/>
        <w:jc w:val="center"/>
        <w:tblLook w:firstColumn="1" w:firstRow="1" w:lastColumn="0" w:lastRow="0" w:noHBand="0" w:noVBand="1" w:val="04A0"/>
      </w:tblPr>
      <w:tblGrid>
        <w:gridCol w:w="3120"/>
        <w:gridCol w:w="3120"/>
        <w:gridCol w:w="3120"/>
      </w:tblGrid>
      <w:tr>
        <w:tc>
          <w:tcPr>
            <w:tcW w:type="dxa" w:w="2300"/>
            <w:shd w:val="clear" w:color="auto" w:fill="2E5A88"/>
          </w:tcPr>
          <w:p>
            <w:r>
              <w:rPr>
                <w:b/>
                <w:color w:val="FFFFFF"/>
                <w:sz w:val="21"/>
              </w:rPr>
              <w:t>Asset</w:t>
            </w:r>
          </w:p>
        </w:tc>
        <w:tc>
          <w:tcPr>
            <w:tcW w:type="dxa" w:w="1300"/>
            <w:shd w:val="clear" w:color="auto" w:fill="2E5A88"/>
          </w:tcPr>
          <w:p>
            <w:r>
              <w:rPr>
                <w:b/>
                <w:color w:val="FFFFFF"/>
                <w:sz w:val="21"/>
              </w:rPr>
              <w:t>Status</w:t>
            </w:r>
          </w:p>
        </w:tc>
        <w:tc>
          <w:tcPr>
            <w:tcW w:type="dxa" w:w="5760"/>
            <w:shd w:val="clear" w:color="auto" w:fill="2E5A88"/>
          </w:tcPr>
          <w:p>
            <w:r>
              <w:rPr>
                <w:b/>
                <w:color w:val="FFFFFF"/>
                <w:sz w:val="21"/>
              </w:rPr>
              <w:t>Notes</w:t>
            </w:r>
          </w:p>
        </w:tc>
      </w:tr>
      <w:tr>
        <w:tc>
          <w:tcPr>
            <w:tcW w:type="dxa" w:w="2300"/>
          </w:tcPr>
          <w:p>
            <w:r>
              <w:rPr>
                <w:sz w:val="21"/>
              </w:rPr>
              <w:t>Whitepaper v3.3</w:t>
            </w:r>
          </w:p>
        </w:tc>
        <w:tc>
          <w:tcPr>
            <w:tcW w:type="dxa" w:w="1300"/>
          </w:tcPr>
          <w:p>
            <w:r>
              <w:rPr>
                <w:sz w:val="21"/>
              </w:rPr>
              <w:t>Ready</w:t>
            </w:r>
          </w:p>
        </w:tc>
        <w:tc>
          <w:tcPr>
            <w:tcW w:type="dxa" w:w="5760"/>
          </w:tcPr>
          <w:p>
            <w:r>
              <w:rPr>
                <w:sz w:val="21"/>
              </w:rPr>
              <w:t>Updated May 2026. 9 claims, 5-tier subscriptions, AI layer, guardrail architecture, AI email triage, Heritage method (current corpus).</w:t>
            </w:r>
          </w:p>
        </w:tc>
      </w:tr>
      <w:tr>
        <w:tc>
          <w:tcPr>
            <w:tcW w:type="dxa" w:w="2300"/>
          </w:tcPr>
          <w:p>
            <w:r>
              <w:rPr>
                <w:sz w:val="21"/>
              </w:rPr>
              <w:t>IP Brief v4</w:t>
            </w:r>
          </w:p>
        </w:tc>
        <w:tc>
          <w:tcPr>
            <w:tcW w:type="dxa" w:w="1300"/>
          </w:tcPr>
          <w:p>
            <w:r>
              <w:rPr>
                <w:sz w:val="21"/>
              </w:rPr>
              <w:t>Ready</w:t>
            </w:r>
          </w:p>
        </w:tc>
        <w:tc>
          <w:tcPr>
            <w:tcW w:type="dxa" w:w="5760"/>
          </w:tcPr>
          <w:p>
            <w:r>
              <w:rPr>
                <w:sz w:val="21"/>
              </w:rPr>
              <w:t>Updated May 2026. Full 9-claim language including new Claim 9 and Element 2A. Risk assessment. Counsel action items.</w:t>
            </w:r>
          </w:p>
        </w:tc>
      </w:tr>
      <w:tr>
        <w:tc>
          <w:tcPr>
            <w:tcW w:type="dxa" w:w="2300"/>
          </w:tcPr>
          <w:p>
            <w:r>
              <w:rPr>
                <w:sz w:val="21"/>
              </w:rPr>
              <w:t>Patent Strategy v3</w:t>
            </w:r>
          </w:p>
        </w:tc>
        <w:tc>
          <w:tcPr>
            <w:tcW w:type="dxa" w:w="1300"/>
          </w:tcPr>
          <w:p>
            <w:r>
              <w:rPr>
                <w:sz w:val="21"/>
              </w:rPr>
              <w:t>Ready</w:t>
            </w:r>
          </w:p>
        </w:tc>
        <w:tc>
          <w:tcPr>
            <w:tcW w:type="dxa" w:w="5760"/>
          </w:tcPr>
          <w:p>
            <w:r>
              <w:rPr>
                <w:sz w:val="21"/>
              </w:rPr>
              <w:t>This document. Updated for 9 claims, Session 94 email triage, referral-fee distinction, heritage method framing.</w:t>
            </w:r>
          </w:p>
        </w:tc>
      </w:tr>
      <w:tr>
        <w:tc>
          <w:tcPr>
            <w:tcW w:type="dxa" w:w="2300"/>
          </w:tcPr>
          <w:p>
            <w:r>
              <w:rPr>
                <w:sz w:val="21"/>
              </w:rPr>
              <w:t>Pre-Filing Consultation Memo</w:t>
            </w:r>
          </w:p>
        </w:tc>
        <w:tc>
          <w:tcPr>
            <w:tcW w:type="dxa" w:w="1300"/>
          </w:tcPr>
          <w:p>
            <w:r>
              <w:rPr>
                <w:sz w:val="21"/>
              </w:rPr>
              <w:t>Ready</w:t>
            </w:r>
          </w:p>
        </w:tc>
        <w:tc>
          <w:tcPr>
            <w:tcW w:type="dxa" w:w="5760"/>
          </w:tcPr>
          <w:p>
            <w:r>
              <w:rPr>
                <w:sz w:val="21"/>
              </w:rPr>
              <w:t>May 2026. Attorney-work-product format. Covers SA, PCT, USPTO, EPO.</w:t>
            </w:r>
          </w:p>
        </w:tc>
      </w:tr>
      <w:tr>
        <w:tc>
          <w:tcPr>
            <w:tcW w:type="dxa" w:w="2300"/>
          </w:tcPr>
          <w:p>
            <w:r>
              <w:rPr>
                <w:sz w:val="21"/>
              </w:rPr>
              <w:t>Pre-Filing Erratum</w:t>
            </w:r>
          </w:p>
        </w:tc>
        <w:tc>
          <w:tcPr>
            <w:tcW w:type="dxa" w:w="1300"/>
          </w:tcPr>
          <w:p>
            <w:r>
              <w:rPr>
                <w:sz w:val="21"/>
              </w:rPr>
              <w:t>Ready</w:t>
            </w:r>
          </w:p>
        </w:tc>
        <w:tc>
          <w:tcPr>
            <w:tcW w:type="dxa" w:w="5760"/>
          </w:tcPr>
          <w:p>
            <w:r>
              <w:rPr>
                <w:sz w:val="21"/>
              </w:rPr>
              <w:t>May 2026. Supersedes Section 5.3 (Banks Act). Corrects Claim 2 language.</w:t>
            </w:r>
          </w:p>
        </w:tc>
      </w:tr>
      <w:tr>
        <w:tc>
          <w:tcPr>
            <w:tcW w:type="dxa" w:w="2300"/>
          </w:tcPr>
          <w:p>
            <w:r>
              <w:rPr>
                <w:sz w:val="21"/>
              </w:rPr>
              <w:t>SA Provisional Patent</w:t>
            </w:r>
          </w:p>
        </w:tc>
        <w:tc>
          <w:tcPr>
            <w:tcW w:type="dxa" w:w="1300"/>
          </w:tcPr>
          <w:p>
            <w:r>
              <w:rPr>
                <w:sz w:val="21"/>
              </w:rPr>
              <w:t>PENDING</w:t>
            </w:r>
          </w:p>
        </w:tc>
        <w:tc>
          <w:tcPr>
            <w:tcW w:type="dxa" w:w="5760"/>
          </w:tcPr>
          <w:p>
            <w:r>
              <w:rPr>
                <w:sz w:val="21"/>
              </w:rPr>
              <w:t>File before public launch. Use 9 claims from IP Brief v4.</w:t>
            </w:r>
          </w:p>
        </w:tc>
      </w:tr>
      <w:tr>
        <w:tc>
          <w:tcPr>
            <w:tcW w:type="dxa" w:w="2300"/>
          </w:tcPr>
          <w:p>
            <w:r>
              <w:rPr>
                <w:sz w:val="21"/>
              </w:rPr>
              <w:t>SA Trademark (Classes 35/36/42)</w:t>
            </w:r>
          </w:p>
        </w:tc>
        <w:tc>
          <w:tcPr>
            <w:tcW w:type="dxa" w:w="1300"/>
          </w:tcPr>
          <w:p>
            <w:r>
              <w:rPr>
                <w:sz w:val="21"/>
              </w:rPr>
              <w:t>PENDING</w:t>
            </w:r>
          </w:p>
        </w:tc>
        <w:tc>
          <w:tcPr>
            <w:tcW w:type="dxa" w:w="5760"/>
          </w:tcPr>
          <w:p>
            <w:r>
              <w:rPr>
                <w:sz w:val="21"/>
              </w:rPr>
              <w:t>File same day as provisional.</w:t>
            </w:r>
          </w:p>
        </w:tc>
      </w:tr>
      <w:tr>
        <w:tc>
          <w:tcPr>
            <w:tcW w:type="dxa" w:w="2300"/>
          </w:tcPr>
          <w:p>
            <w:r>
              <w:rPr>
                <w:sz w:val="21"/>
              </w:rPr>
              <w:t>CIPC Company Registration</w:t>
            </w:r>
          </w:p>
        </w:tc>
        <w:tc>
          <w:tcPr>
            <w:tcW w:type="dxa" w:w="1300"/>
          </w:tcPr>
          <w:p>
            <w:r>
              <w:rPr>
                <w:sz w:val="21"/>
              </w:rPr>
              <w:t>Complete</w:t>
            </w:r>
          </w:p>
        </w:tc>
        <w:tc>
          <w:tcPr>
            <w:tcW w:type="dxa" w:w="5760"/>
          </w:tcPr>
          <w:p>
            <w:r>
              <w:rPr>
                <w:sz w:val="21"/>
              </w:rPr>
              <w:t>Reg 2026/340128/07. Registered 29 April 2026.</w:t>
            </w:r>
          </w:p>
        </w:tc>
      </w:tr>
      <w:tr>
        <w:tc>
          <w:tcPr>
            <w:tcW w:type="dxa" w:w="2300"/>
          </w:tcPr>
          <w:p>
            <w:r>
              <w:rPr>
                <w:sz w:val="21"/>
              </w:rPr>
              <w:t>trustsquare.co Domain</w:t>
            </w:r>
          </w:p>
        </w:tc>
        <w:tc>
          <w:tcPr>
            <w:tcW w:type="dxa" w:w="1300"/>
          </w:tcPr>
          <w:p>
            <w:r>
              <w:rPr>
                <w:sz w:val="21"/>
              </w:rPr>
              <w:t>Live</w:t>
            </w:r>
          </w:p>
        </w:tc>
        <w:tc>
          <w:tcPr>
            <w:tcW w:type="dxa" w:w="5760"/>
          </w:tcPr>
          <w:p>
            <w:r>
              <w:rPr>
                <w:sz w:val="21"/>
              </w:rPr>
              <w:t>Cloudflare DNS. SSL active.</w:t>
            </w:r>
          </w:p>
        </w:tc>
      </w:tr>
      <w:tr>
        <w:tc>
          <w:tcPr>
            <w:tcW w:type="dxa" w:w="2300"/>
          </w:tcPr>
          <w:p>
            <w:r>
              <w:rPr>
                <w:sz w:val="21"/>
              </w:rPr>
              <w:t>BEA v1.3.4</w:t>
            </w:r>
          </w:p>
        </w:tc>
        <w:tc>
          <w:tcPr>
            <w:tcW w:type="dxa" w:w="1300"/>
          </w:tcPr>
          <w:p>
            <w:r>
              <w:rPr>
                <w:sz w:val="21"/>
              </w:rPr>
              <w:t>Live</w:t>
            </w:r>
          </w:p>
        </w:tc>
        <w:tc>
          <w:tcPr>
            <w:tcW w:type="dxa" w:w="5760"/>
          </w:tcPr>
          <w:p>
            <w:r>
              <w:rPr>
                <w:sz w:val="21"/>
              </w:rPr>
              <w:t>FastAPI + SQLite. Hetzner CPX32. 56 live listings. AI email triage live (auto-reply on for support@).</w:t>
            </w:r>
          </w:p>
        </w:tc>
      </w:tr>
      <w:tr>
        <w:tc>
          <w:tcPr>
            <w:tcW w:type="dxa" w:w="2300"/>
          </w:tcPr>
          <w:p>
            <w:r>
              <w:rPr>
                <w:sz w:val="21"/>
              </w:rPr>
              <w:t>Paystack Test Mode</w:t>
            </w:r>
          </w:p>
        </w:tc>
        <w:tc>
          <w:tcPr>
            <w:tcW w:type="dxa" w:w="1300"/>
          </w:tcPr>
          <w:p>
            <w:r>
              <w:rPr>
                <w:sz w:val="21"/>
              </w:rPr>
              <w:t>Live</w:t>
            </w:r>
          </w:p>
        </w:tc>
        <w:tc>
          <w:tcPr>
            <w:tcW w:type="dxa" w:w="5760"/>
          </w:tcPr>
          <w:p>
            <w:r>
              <w:rPr>
                <w:sz w:val="21"/>
              </w:rPr>
              <w:t>Live mode pending CIPC / FSCA confirmation.</w:t>
            </w:r>
          </w:p>
        </w:tc>
      </w:tr>
    </w:tbl>
    <w:p>
      <w:pPr>
        <w:spacing w:after="60"/>
      </w:pPr>
    </w:p>
    <w:p>
      <w:pPr>
        <w:pStyle w:val="Heading1"/>
      </w:pPr>
      <w:r>
        <w:t>6. Immediate Next Actions (In Order)</w:t>
      </w:r>
    </w:p>
    <w:p>
      <w:pPr>
        <w:pStyle w:val="ListBullet"/>
        <w:spacing w:after="100"/>
      </w:pPr>
      <w:r>
        <w:rPr>
          <w:sz w:val="21"/>
        </w:rPr>
        <w:t>Book attorney consultation — Adams &amp; Adams / Spoor &amp; Fisher / Bowmans — budget R3,000-R5,000. Bring IP Brief v4 and Pre-Filing Consultation Memo + Erratum.</w:t>
      </w:r>
    </w:p>
    <w:p>
      <w:pPr>
        <w:pStyle w:val="ListBullet"/>
        <w:spacing w:after="100"/>
      </w:pPr>
      <w:r>
        <w:rPr>
          <w:sz w:val="21"/>
        </w:rPr>
        <w:t>Agree with attorney on Claim 7 / Claim 9 structure: keep AI layer + email triage inside the Combination Claim, or file the email triage method as a new independent Claim 9.</w:t>
      </w:r>
    </w:p>
    <w:p>
      <w:pPr>
        <w:pStyle w:val="ListBullet"/>
        <w:spacing w:after="100"/>
      </w:pPr>
      <w:r>
        <w:rPr>
          <w:sz w:val="21"/>
        </w:rPr>
        <w:t>Confirm Claim 2 referral-fee distinction (Element 2A) and Claim 8 method-not-catalogue framing are reflected in the drafted provisional.</w:t>
      </w:r>
    </w:p>
    <w:p>
      <w:pPr>
        <w:pStyle w:val="ListBullet"/>
        <w:spacing w:after="100"/>
      </w:pPr>
      <w:r>
        <w:rPr>
          <w:sz w:val="21"/>
        </w:rPr>
        <w:t>File SA Provisional Patent via iponline.cipc.co.za — 9 claims (or as attorney advises) — before any public launch or disclosure.</w:t>
      </w:r>
    </w:p>
    <w:p>
      <w:pPr>
        <w:pStyle w:val="ListBullet"/>
        <w:spacing w:after="100"/>
      </w:pPr>
      <w:r>
        <w:rPr>
          <w:sz w:val="21"/>
        </w:rPr>
        <w:t>File SA Trademark (Classes 35, 36, 42) via iponline.cipc.co.za — same day as provisional.</w:t>
      </w:r>
    </w:p>
    <w:p>
      <w:pPr>
        <w:pStyle w:val="ListBullet"/>
        <w:spacing w:after="100"/>
      </w:pPr>
      <w:r>
        <w:rPr>
          <w:sz w:val="21"/>
        </w:rPr>
        <w:t>Hash Whitepaper v3.3 (SHA-256) and submit hash to OpenTimestamps — publish hash, not document.</w:t>
      </w:r>
    </w:p>
    <w:p>
      <w:pPr>
        <w:pStyle w:val="ListBullet"/>
        <w:spacing w:after="100"/>
      </w:pPr>
      <w:r>
        <w:rPr>
          <w:sz w:val="21"/>
        </w:rPr>
        <w:t>Upload Whitepaper v3.3 to ip.com prior art database.</w:t>
      </w:r>
    </w:p>
    <w:p>
      <w:pPr>
        <w:pStyle w:val="ListBullet"/>
        <w:spacing w:after="100"/>
      </w:pPr>
      <w:r>
        <w:rPr>
          <w:sz w:val="21"/>
        </w:rPr>
        <w:t>Submit trustsquare.co to archive.org/save (Internet Archive).</w:t>
      </w:r>
    </w:p>
    <w:p>
      <w:pPr>
        <w:pStyle w:val="ListBullet"/>
        <w:spacing w:after="100"/>
      </w:pPr>
      <w:r>
        <w:rPr>
          <w:sz w:val="21"/>
        </w:rPr>
        <w:t>Publish whitepaper publicly — ONLY after all steps above are confirmed complete.</w:t>
      </w:r>
    </w:p>
    <w:p>
      <w:pPr>
        <w:spacing w:after="120"/>
      </w:pPr>
      <w:r>
        <w:rPr>
          <w:b/>
          <w:i w:val="0"/>
          <w:sz w:val="21"/>
        </w:rPr>
        <w:t>Version History</w:t>
      </w:r>
    </w:p>
    <w:tbl>
      <w:tblPr>
        <w:tblStyle w:val="TableGrid"/>
        <w:tblW w:type="auto" w:w="0"/>
        <w:jc w:val="center"/>
        <w:tblLook w:firstColumn="1" w:firstRow="1" w:lastColumn="0" w:lastRow="0" w:noHBand="0" w:noVBand="1" w:val="04A0"/>
      </w:tblPr>
      <w:tblGrid>
        <w:gridCol w:w="9360"/>
      </w:tblGrid>
      <w:tr>
        <w:tc>
          <w:tcPr>
            <w:tcW w:type="dxa" w:w="9360"/>
            <w:shd w:val="clear" w:color="auto" w:fill="F2F6FA"/>
          </w:tcPr>
          <w:p>
            <w:pPr>
              <w:spacing w:after="80"/>
            </w:pPr>
            <w:r>
              <w:rPr>
                <w:b w:val="0"/>
                <w:sz w:val="21"/>
              </w:rPr>
              <w:t>v1.0 (May 2026): Initial 7-claim strategy</w:t>
            </w:r>
          </w:p>
          <w:p>
            <w:pPr>
              <w:spacing w:after="80"/>
            </w:pPr>
            <w:r>
              <w:rPr>
                <w:b w:val="0"/>
                <w:sz w:val="21"/>
              </w:rPr>
              <w:t>v2.0 (May 2026): Updated for 8 claims, subscription tier redesign, AI Services layer (10 services), AI guardrail architecture (existence gate + spend register). Claim 7 (Combination Claim) significantly expanded.</w:t>
            </w:r>
          </w:p>
          <w:p>
            <w:pPr>
              <w:spacing w:after="80"/>
            </w:pPr>
            <w:r>
              <w:rPr>
                <w:b/>
                <w:sz w:val="21"/>
              </w:rPr>
              <w:t>v3.0 (May 2026): Claim 9 added — AI-Mediated Inbound Communication Triage (Session 94). Claim schedule now 9 claims. Section 3.5 added: express referral-fee distinction for Claim 2 (Element 2A) and METHOD-not-catalogue framing for Claim 8 (heritage site count / link cap demoted to non-limiting implementation detail). BEA v1.3.4. Asset status, next actions, and Claim 7/9 structure decision refreshed.</w:t>
            </w:r>
          </w:p>
        </w:tc>
      </w:tr>
    </w:tbl>
    <w:p>
      <w:pPr>
        <w:spacing w:after="60"/>
      </w:pPr>
    </w:p>
    <w:p>
      <w:pPr>
        <w:spacing w:after="160"/>
      </w:pPr>
      <w:r>
        <w:rPr>
          <w:b w:val="0"/>
          <w:i w:val="0"/>
          <w:color w:val="888888"/>
          <w:sz w:val="18"/>
        </w:rPr>
        <w:t>TrustSquare (Pty) Ltd  |  Reg. 2026/340128/07  |  CONFIDENTIAL — Internal Strategy Document  |  v3.0  |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A8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