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2E5A88"/>
          <w:sz w:val="44"/>
        </w:rPr>
        <w:t>TrustSquare</w:t>
      </w:r>
    </w:p>
    <w:p>
      <w:pPr>
        <w:spacing w:after="40"/>
      </w:pPr>
      <w:r>
        <w:rPr>
          <w:b w:val="0"/>
          <w:i w:val="0"/>
          <w:sz w:val="26"/>
        </w:rPr>
        <w:t>Unified Participation Marketplace</w:t>
      </w:r>
    </w:p>
    <w:p>
      <w:pPr>
        <w:spacing w:after="40"/>
      </w:pPr>
      <w:r>
        <w:rPr>
          <w:b/>
          <w:i w:val="0"/>
          <w:sz w:val="24"/>
        </w:rPr>
        <w:t>Technical Whitepaper v3.3  —  Provisional Patent Document</w:t>
      </w:r>
    </w:p>
    <w:p>
      <w:pPr>
        <w:spacing w:after="40"/>
      </w:pPr>
      <w:r>
        <w:rPr>
          <w:b w:val="0"/>
          <w:i w:val="0"/>
          <w:sz w:val="20"/>
        </w:rPr>
        <w:t>Updated: May 2026  |  Trustsquare (Pty) Ltd  |  Reg 2026/340128/07</w:t>
      </w:r>
    </w:p>
    <w:p>
      <w:pPr>
        <w:spacing w:after="160"/>
      </w:pPr>
      <w:r>
        <w:rPr>
          <w:b/>
          <w:i w:val="0"/>
          <w:color w:val="2E5A88"/>
          <w:sz w:val="20"/>
        </w:rPr>
        <w:t>CONFIDENTIAL — Prior Art Disclosure</w:t>
      </w:r>
    </w:p>
    <w:p>
      <w:pPr>
        <w:pStyle w:val="Heading1"/>
      </w:pPr>
      <w:r>
        <w:t>1. Executive Summary</w:t>
      </w:r>
    </w:p>
    <w:p>
      <w:pPr>
        <w:spacing w:after="160"/>
      </w:pPr>
      <w:r>
        <w:rPr>
          <w:b w:val="0"/>
          <w:i w:val="0"/>
          <w:sz w:val="21"/>
        </w:rPr>
        <w:t>TrustSquare is a mobile-first, privacy-preserving marketplace that enables buyers and sellers to transact anonymously until both parties consent to introduction. The platform introduces a novel participation currency (Tuppence) that functions simultaneously as a buyer commitment signal, a spam filter, and a seller quality metric. The Unified Participation Model — wherein every user is both a potential buyer and a potential seller — is the core patentable innovation.</w:t>
      </w:r>
    </w:p>
    <w:p>
      <w:pPr>
        <w:spacing w:after="160"/>
      </w:pPr>
      <w:r>
        <w:rPr>
          <w:b w:val="0"/>
          <w:i w:val="0"/>
          <w:sz w:val="21"/>
        </w:rPr>
        <w:t>This document constitutes a prior art disclosure and supports a CIPRO provisional patent application. All described methods, systems, and database schemas were conceived, designed, and implemented by TrustSquare (Pty) Ltd.</w:t>
      </w:r>
    </w:p>
    <w:p>
      <w:pPr>
        <w:spacing w:after="160"/>
      </w:pPr>
      <w:r>
        <w:rPr>
          <w:b w:val="0"/>
          <w:i w:val="0"/>
          <w:sz w:val="21"/>
        </w:rPr>
        <w:t>The platform is live at trustsquare.co (BEA v1.3.4) with 56 live listings across Pretoria, South Africa, operating on a Hetzner CPX32 server.</w:t>
      </w:r>
    </w:p>
    <w:p>
      <w:pPr>
        <w:pStyle w:val="Heading1"/>
      </w:pPr>
      <w:r>
        <w:t>2. Problem Statement</w:t>
      </w:r>
    </w:p>
    <w:p>
      <w:pPr>
        <w:spacing w:after="160"/>
      </w:pPr>
      <w:r>
        <w:rPr>
          <w:b w:val="0"/>
          <w:i w:val="0"/>
          <w:sz w:val="21"/>
        </w:rPr>
        <w:t>Existing marketplace platforms suffer from three structural deficiencies:</w:t>
      </w:r>
    </w:p>
    <w:p>
      <w:pPr>
        <w:pStyle w:val="ListBullet"/>
        <w:spacing w:after="100"/>
      </w:pPr>
      <w:r>
        <w:rPr>
          <w:sz w:val="21"/>
        </w:rPr>
        <w:t>Asymmetric trust: buyers know who they are contacting; sellers receive cold inquiries with no quality signal</w:t>
      </w:r>
    </w:p>
    <w:p>
      <w:pPr>
        <w:pStyle w:val="ListBullet"/>
        <w:spacing w:after="100"/>
      </w:pPr>
      <w:r>
        <w:rPr>
          <w:sz w:val="21"/>
        </w:rPr>
        <w:t>Advertising dependency: seller visibility is proportional to advertising spend, not competence or reputation</w:t>
      </w:r>
    </w:p>
    <w:p>
      <w:pPr>
        <w:pStyle w:val="ListBullet"/>
        <w:spacing w:after="100"/>
      </w:pPr>
      <w:r>
        <w:rPr>
          <w:sz w:val="21"/>
        </w:rPr>
        <w:t>Identity exposure: sellers must publish personal contact details to be discoverable, creating phishing and spam surface</w:t>
      </w:r>
    </w:p>
    <w:p>
      <w:pPr>
        <w:spacing w:after="160"/>
      </w:pPr>
      <w:r>
        <w:rPr>
          <w:b w:val="0"/>
          <w:i w:val="0"/>
          <w:sz w:val="21"/>
        </w:rPr>
        <w:t>No existing platform addresses all three simultaneously without reducing either buyer reach or seller discoverability.</w:t>
      </w:r>
    </w:p>
    <w:p>
      <w:pPr>
        <w:pStyle w:val="Heading1"/>
      </w:pPr>
      <w:r>
        <w:t>3. Technical Innovation</w:t>
      </w:r>
    </w:p>
    <w:p>
      <w:pPr>
        <w:pStyle w:val="Heading2"/>
      </w:pPr>
      <w:r>
        <w:t>3.1 Unified Participation Model — Database Implementation</w:t>
      </w:r>
    </w:p>
    <w:p>
      <w:pPr>
        <w:spacing w:after="160"/>
      </w:pPr>
      <w:r>
        <w:rPr>
          <w:b w:val="0"/>
          <w:i w:val="0"/>
          <w:sz w:val="21"/>
        </w:rPr>
        <w:t>The core innovation is a single-table user model where role is not a column — it is a state derived from the user's activity:</w:t>
      </w:r>
    </w:p>
    <w:p>
      <w:pPr>
        <w:pStyle w:val="ListBullet"/>
        <w:spacing w:after="100"/>
      </w:pPr>
      <w:r>
        <w:rPr>
          <w:sz w:val="21"/>
        </w:rPr>
        <w:t>A user with no listings and Tuppence balance &gt; 0 is operating as a buyer</w:t>
      </w:r>
    </w:p>
    <w:p>
      <w:pPr>
        <w:pStyle w:val="ListBullet"/>
        <w:spacing w:after="100"/>
      </w:pPr>
      <w:r>
        <w:rPr>
          <w:sz w:val="21"/>
        </w:rPr>
        <w:t>A user with at least one published listing is a seller</w:t>
      </w:r>
    </w:p>
    <w:p>
      <w:pPr>
        <w:pStyle w:val="ListBullet"/>
        <w:spacing w:after="100"/>
      </w:pPr>
      <w:r>
        <w:rPr>
          <w:sz w:val="21"/>
        </w:rPr>
        <w:t>The same user may be both simultaneously</w:t>
      </w:r>
    </w:p>
    <w:p>
      <w:pPr>
        <w:spacing w:after="160"/>
      </w:pPr>
      <w:r>
        <w:rPr>
          <w:b w:val="0"/>
          <w:i w:val="0"/>
          <w:sz w:val="21"/>
        </w:rPr>
        <w:t>Schema: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4F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sz w:val="18"/>
              </w:rPr>
              <w:t>users(id, email, name, tuppence_balance, trust_score,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8"/>
              </w:rPr>
              <w:t xml:space="preserve">      subscription_tier, slot_limit, photo_url, created_at)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8"/>
              </w:rPr>
              <w:t>listings(id, seller_email, category, city_id, suburb_id, status, trust_score)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8"/>
              </w:rPr>
              <w:t>introductions(id, buyer_email, listing_id, tuppence_cost, status, created_at)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8"/>
              </w:rPr>
              <w:t>tuppence_ledger(id, user_email, delta, reason, ref_id, created_at)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8"/>
              </w:rPr>
              <w:t>ai_spend_log(id, email, endpoint, model, est_cost_usd, logged_at)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8"/>
              </w:rPr>
              <w:t>ai_spend_config(id, monthly_income_usd, alert_threshold_pct, alert_email, last_alerted_at)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8"/>
              </w:rPr>
              <w:t>email_triage(id, from_addr, to_addr, subject, body_preview, category,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8"/>
              </w:rPr>
              <w:t xml:space="preserve">      urgency, draft_reply, status, message_id, received_at)</w:t>
            </w:r>
          </w:p>
        </w:tc>
      </w:tr>
    </w:tbl>
    <w:p>
      <w:pPr>
        <w:spacing w:after="60"/>
      </w:pPr>
    </w:p>
    <w:p>
      <w:pPr>
        <w:spacing w:after="160"/>
      </w:pPr>
      <w:r>
        <w:rPr>
          <w:b w:val="0"/>
          <w:i w:val="0"/>
          <w:sz w:val="21"/>
        </w:rPr>
        <w:t>This schema is unique: role emergence from transaction state (not schema column) is not implemented in any known prior art marketplace platform.</w:t>
      </w:r>
    </w:p>
    <w:p>
      <w:pPr>
        <w:pStyle w:val="Heading2"/>
      </w:pPr>
      <w:r>
        <w:t>3.2 Tuppence Micro-Currency</w:t>
      </w:r>
    </w:p>
    <w:p>
      <w:pPr>
        <w:spacing w:after="160"/>
      </w:pPr>
      <w:r>
        <w:rPr>
          <w:b w:val="0"/>
          <w:i w:val="0"/>
          <w:sz w:val="21"/>
        </w:rPr>
        <w:t>Tuppence is a non-transferable platform credit (1T = USD $2) with the following properties:</w:t>
      </w:r>
    </w:p>
    <w:p>
      <w:pPr>
        <w:pStyle w:val="ListBullet"/>
        <w:spacing w:after="100"/>
      </w:pPr>
      <w:r>
        <w:rPr>
          <w:sz w:val="21"/>
        </w:rPr>
        <w:t>Purchased in bundles by buyers; cannot be withdrawn as cash</w:t>
      </w:r>
    </w:p>
    <w:p>
      <w:pPr>
        <w:pStyle w:val="ListBullet"/>
        <w:spacing w:after="100"/>
      </w:pPr>
      <w:r>
        <w:rPr>
          <w:sz w:val="21"/>
        </w:rPr>
        <w:t>Burned on introduction request; non-refundable under any circumstance. Buyer commitment signal is the price of contact.</w:t>
      </w:r>
    </w:p>
    <w:p>
      <w:pPr>
        <w:pStyle w:val="ListBullet"/>
        <w:spacing w:after="100"/>
      </w:pPr>
      <w:r>
        <w:rPr>
          <w:sz w:val="21"/>
        </w:rPr>
        <w:t>Seller trust score is partially derived from introduction acceptance rate, creating a quality feedback loop</w:t>
      </w:r>
    </w:p>
    <w:p>
      <w:pPr>
        <w:pStyle w:val="ListBullet"/>
        <w:spacing w:after="100"/>
      </w:pPr>
      <w:r>
        <w:rPr>
          <w:sz w:val="21"/>
        </w:rPr>
        <w:t>Zero marginal cost to issue; no regulatory classification as financial instrument in ZA jurisdiction (confirmed via Banks Act 94 of 1990 analysis — see Erratum 2026-05-12)</w:t>
      </w:r>
    </w:p>
    <w:p>
      <w:pPr>
        <w:spacing w:after="160"/>
      </w:pPr>
      <w:r>
        <w:rPr>
          <w:b w:val="0"/>
          <w:i w:val="0"/>
          <w:sz w:val="21"/>
        </w:rPr>
        <w:t>The introduction charge is categorically distinct from a referral fee, finder's fee, or sales commission, and is the structural inverse of one on every axis: it is buyer-paid (not seller-paid); a fixed unit of value that is never a percentage of price or transaction value; consumed before any introduction occurs; owed regardless of outcome (non-refundable even where no transaction results); and paid blind, into a state of mutual anonymity, before the buyer knows the seller's identity. The anonymity (3.3) and the non-refundable pre-introduction commitment are mutually reinforcing and inseparable — the charge is novel because it is spent blind, and the anonymity carries commercial force because it is gated by an irreversible commitment. The strict non-refundability and fixed character of the charge are load-bearing for the platform's novelty.</w:t>
      </w:r>
    </w:p>
    <w:p>
      <w:pPr>
        <w:pStyle w:val="Heading2"/>
      </w:pPr>
      <w:r>
        <w:t>3.3 Anonymous Introduction Protocol</w:t>
      </w:r>
    </w:p>
    <w:p>
      <w:pPr>
        <w:spacing w:after="160"/>
      </w:pPr>
      <w:r>
        <w:rPr>
          <w:b w:val="0"/>
          <w:i w:val="0"/>
          <w:sz w:val="21"/>
        </w:rPr>
        <w:t>The introduction flow: (1) buyer browses anonymised seller profiles (no email, phone, or surname visible); (2) buyer spends Tuppence to request introduction; (3) seller receives pseudonymised buyer summary; (4) seller accepts or declines; (5) on acceptance, both parties receive each other's contact details simultaneously. Neither party's contact information is ever stored in the other's device prior to mutual consent.</w:t>
      </w:r>
    </w:p>
    <w:p>
      <w:pPr>
        <w:pStyle w:val="Heading2"/>
      </w:pPr>
      <w:r>
        <w:t>3.4 Trust Score Architecture</w:t>
      </w:r>
    </w:p>
    <w:p>
      <w:pPr>
        <w:spacing w:after="160"/>
      </w:pPr>
      <w:r>
        <w:rPr>
          <w:b w:val="0"/>
          <w:i w:val="0"/>
          <w:sz w:val="21"/>
        </w:rPr>
        <w:t>The Trust Score (0-100) is a weighted composite:</w:t>
      </w:r>
    </w:p>
    <w:p>
      <w:pPr>
        <w:pStyle w:val="ListBullet"/>
        <w:spacing w:after="100"/>
      </w:pPr>
      <w:r>
        <w:rPr>
          <w:sz w:val="21"/>
        </w:rPr>
        <w:t>Verified credentials submitted and reviewed (30%)</w:t>
      </w:r>
    </w:p>
    <w:p>
      <w:pPr>
        <w:pStyle w:val="ListBullet"/>
        <w:spacing w:after="100"/>
      </w:pPr>
      <w:r>
        <w:rPr>
          <w:sz w:val="21"/>
        </w:rPr>
        <w:t>Completed introductions / total introductions accepted (25%)</w:t>
      </w:r>
    </w:p>
    <w:p>
      <w:pPr>
        <w:pStyle w:val="ListBullet"/>
        <w:spacing w:after="100"/>
      </w:pPr>
      <w:r>
        <w:rPr>
          <w:sz w:val="21"/>
        </w:rPr>
        <w:t>Average buyer rating post-introduction (25%)</w:t>
      </w:r>
    </w:p>
    <w:p>
      <w:pPr>
        <w:pStyle w:val="ListBullet"/>
        <w:spacing w:after="100"/>
      </w:pPr>
      <w:r>
        <w:rPr>
          <w:sz w:val="21"/>
        </w:rPr>
        <w:t>Response rate to introduction requests (10%)</w:t>
      </w:r>
    </w:p>
    <w:p>
      <w:pPr>
        <w:pStyle w:val="ListBullet"/>
        <w:spacing w:after="100"/>
      </w:pPr>
      <w:r>
        <w:rPr>
          <w:sz w:val="21"/>
        </w:rPr>
        <w:t>Account tenure (10%)</w:t>
      </w:r>
    </w:p>
    <w:p>
      <w:pPr>
        <w:spacing w:after="160"/>
      </w:pPr>
      <w:r>
        <w:rPr>
          <w:b w:val="0"/>
          <w:i w:val="0"/>
          <w:sz w:val="21"/>
        </w:rPr>
        <w:t>The score is calculated server-side and cannot be self-reported or self-modified by the seller.</w:t>
      </w:r>
    </w:p>
    <w:p>
      <w:pPr>
        <w:pStyle w:val="Heading2"/>
      </w:pPr>
      <w:r>
        <w:t>3.5 Subscription Tier Architecture (Updated v3.2)</w:t>
      </w:r>
    </w:p>
    <w:p>
      <w:pPr>
        <w:spacing w:after="160"/>
      </w:pPr>
      <w:r>
        <w:rPr>
          <w:b w:val="0"/>
          <w:i w:val="0"/>
          <w:sz w:val="21"/>
        </w:rPr>
        <w:t>TrustSquare operates a five-tier subscription model replacing the previous three-tier Free/Starter/International structure. The new model ties listing slot limits to tier, enforced at publish time by the BEA: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00"/>
            <w:shd w:val="clear" w:color="auto" w:fill="2E5A88"/>
          </w:tcPr>
          <w:p>
            <w:r>
              <w:rPr>
                <w:b/>
                <w:color w:val="FFFFFF"/>
                <w:sz w:val="21"/>
              </w:rPr>
              <w:t>Tier</w:t>
            </w:r>
          </w:p>
        </w:tc>
        <w:tc>
          <w:tcPr>
            <w:tcW w:type="dxa" w:w="1400"/>
            <w:shd w:val="clear" w:color="auto" w:fill="2E5A88"/>
          </w:tcPr>
          <w:p>
            <w:r>
              <w:rPr>
                <w:b/>
                <w:color w:val="FFFFFF"/>
                <w:sz w:val="21"/>
              </w:rPr>
              <w:t>Price/mo</w:t>
            </w:r>
          </w:p>
        </w:tc>
        <w:tc>
          <w:tcPr>
            <w:tcW w:type="dxa" w:w="1100"/>
            <w:shd w:val="clear" w:color="auto" w:fill="2E5A88"/>
          </w:tcPr>
          <w:p>
            <w:r>
              <w:rPr>
                <w:b/>
                <w:color w:val="FFFFFF"/>
                <w:sz w:val="21"/>
              </w:rPr>
              <w:t>Slots</w:t>
            </w:r>
          </w:p>
        </w:tc>
        <w:tc>
          <w:tcPr>
            <w:tcW w:type="dxa" w:w="5160"/>
            <w:shd w:val="clear" w:color="auto" w:fill="2E5A88"/>
          </w:tcPr>
          <w:p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170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140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10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5160"/>
          </w:tcPr>
          <w:p>
            <w:r>
              <w:rPr>
                <w:sz w:val="20"/>
              </w:rPr>
              <w:t>Suburb-level visibility. No credit card required.</w:t>
            </w:r>
          </w:p>
        </w:tc>
      </w:tr>
      <w:tr>
        <w:tc>
          <w:tcPr>
            <w:tcW w:type="dxa" w:w="1700"/>
          </w:tcPr>
          <w:p>
            <w:r>
              <w:rPr>
                <w:sz w:val="20"/>
              </w:rPr>
              <w:t>Standard</w:t>
            </w:r>
          </w:p>
        </w:tc>
        <w:tc>
          <w:tcPr>
            <w:tcW w:type="dxa" w:w="1400"/>
          </w:tcPr>
          <w:p>
            <w:r>
              <w:rPr>
                <w:sz w:val="20"/>
              </w:rPr>
              <w:t>$12</w:t>
            </w:r>
          </w:p>
        </w:tc>
        <w:tc>
          <w:tcPr>
            <w:tcW w:type="dxa" w:w="110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5160"/>
          </w:tcPr>
          <w:p>
            <w:r>
              <w:rPr>
                <w:sz w:val="20"/>
              </w:rPr>
              <w:t>City-level visibility. Suited to individual sellers.</w:t>
            </w:r>
          </w:p>
        </w:tc>
      </w:tr>
      <w:tr>
        <w:tc>
          <w:tcPr>
            <w:tcW w:type="dxa" w:w="1700"/>
          </w:tcPr>
          <w:p>
            <w:r>
              <w:rPr>
                <w:sz w:val="20"/>
              </w:rPr>
              <w:t>Professional</w:t>
            </w:r>
          </w:p>
        </w:tc>
        <w:tc>
          <w:tcPr>
            <w:tcW w:type="dxa" w:w="1400"/>
          </w:tcPr>
          <w:p>
            <w:r>
              <w:rPr>
                <w:sz w:val="20"/>
              </w:rPr>
              <w:t>$20</w:t>
            </w:r>
          </w:p>
        </w:tc>
        <w:tc>
          <w:tcPr>
            <w:tcW w:type="dxa" w:w="110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5160"/>
          </w:tcPr>
          <w:p>
            <w:r>
              <w:rPr>
                <w:sz w:val="20"/>
              </w:rPr>
              <w:t>City + region visibility. Suited to active agents.</w:t>
            </w:r>
          </w:p>
        </w:tc>
      </w:tr>
      <w:tr>
        <w:tc>
          <w:tcPr>
            <w:tcW w:type="dxa" w:w="1700"/>
          </w:tcPr>
          <w:p>
            <w:r>
              <w:rPr>
                <w:sz w:val="20"/>
              </w:rPr>
              <w:t>Business</w:t>
            </w:r>
          </w:p>
        </w:tc>
        <w:tc>
          <w:tcPr>
            <w:tcW w:type="dxa" w:w="1400"/>
          </w:tcPr>
          <w:p>
            <w:r>
              <w:rPr>
                <w:sz w:val="20"/>
              </w:rPr>
              <w:t>$40</w:t>
            </w:r>
          </w:p>
        </w:tc>
        <w:tc>
          <w:tcPr>
            <w:tcW w:type="dxa" w:w="1100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5160"/>
          </w:tcPr>
          <w:p>
            <w:r>
              <w:rPr>
                <w:sz w:val="20"/>
              </w:rPr>
              <w:t>Country-level visibility. Estate agencies.</w:t>
            </w:r>
          </w:p>
        </w:tc>
      </w:tr>
      <w:tr>
        <w:tc>
          <w:tcPr>
            <w:tcW w:type="dxa" w:w="1700"/>
          </w:tcPr>
          <w:p>
            <w:r>
              <w:rPr>
                <w:sz w:val="20"/>
              </w:rPr>
              <w:t>Elite</w:t>
            </w:r>
          </w:p>
        </w:tc>
        <w:tc>
          <w:tcPr>
            <w:tcW w:type="dxa" w:w="1400"/>
          </w:tcPr>
          <w:p>
            <w:r>
              <w:rPr>
                <w:sz w:val="20"/>
              </w:rPr>
              <w:t>$100</w:t>
            </w:r>
          </w:p>
        </w:tc>
        <w:tc>
          <w:tcPr>
            <w:tcW w:type="dxa" w:w="110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5160"/>
          </w:tcPr>
          <w:p>
            <w:r>
              <w:rPr>
                <w:sz w:val="20"/>
              </w:rPr>
              <w:t>Unlimited visibility. Portfolio landlords, franchises.</w:t>
            </w:r>
          </w:p>
        </w:tc>
      </w:tr>
    </w:tbl>
    <w:p>
      <w:pPr>
        <w:spacing w:after="60"/>
      </w:pPr>
    </w:p>
    <w:p>
      <w:pPr>
        <w:spacing w:after="160"/>
      </w:pPr>
      <w:r>
        <w:rPr>
          <w:b w:val="0"/>
          <w:i w:val="0"/>
          <w:sz w:val="21"/>
        </w:rPr>
        <w:t>Downgrade rules: downgrades are queued to end-of-billing-period. A seller cannot downgrade to a tier whose slot limit is lower than their current active listing count. Slot enforcement is performed server-side at publish time — the BEA rejects publish attempts that would exceed the tier limit (HTTP 402).</w:t>
      </w:r>
    </w:p>
    <w:p>
      <w:pPr>
        <w:spacing w:after="160"/>
      </w:pPr>
      <w:r>
        <w:rPr>
          <w:b w:val="0"/>
          <w:i w:val="0"/>
          <w:sz w:val="21"/>
        </w:rPr>
        <w:t>Tuppence per-introduction cost is architecturally separate from listing slot cost and is never combined with subscription pricing.</w:t>
      </w:r>
    </w:p>
    <w:p>
      <w:pPr>
        <w:pStyle w:val="Heading2"/>
      </w:pPr>
      <w:r>
        <w:t>3.6 AI Services Layer (New in v3.2)</w:t>
      </w:r>
    </w:p>
    <w:p>
      <w:pPr>
        <w:spacing w:after="160"/>
      </w:pPr>
      <w:r>
        <w:rPr>
          <w:b w:val="0"/>
          <w:i w:val="0"/>
          <w:sz w:val="21"/>
        </w:rPr>
        <w:t>TrustSquare operates a suite of AI-powered services accessible to registered sellers and buyers via Tuppence micro-payments. This constitutes a third revenue stream alongside subscriptions and introductions.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00"/>
            <w:shd w:val="clear" w:color="auto" w:fill="2E5A88"/>
          </w:tcPr>
          <w:p>
            <w:r>
              <w:rPr>
                <w:b/>
                <w:color w:val="FFFFFF"/>
                <w:sz w:val="21"/>
              </w:rPr>
              <w:t>ID</w:t>
            </w:r>
          </w:p>
        </w:tc>
        <w:tc>
          <w:tcPr>
            <w:tcW w:type="dxa" w:w="2200"/>
            <w:shd w:val="clear" w:color="auto" w:fill="2E5A88"/>
          </w:tcPr>
          <w:p>
            <w:r>
              <w:rPr>
                <w:b/>
                <w:color w:val="FFFFFF"/>
                <w:sz w:val="21"/>
              </w:rPr>
              <w:t>Service</w:t>
            </w:r>
          </w:p>
        </w:tc>
        <w:tc>
          <w:tcPr>
            <w:tcW w:type="dxa" w:w="900"/>
            <w:shd w:val="clear" w:color="auto" w:fill="2E5A88"/>
          </w:tcPr>
          <w:p>
            <w:r>
              <w:rPr>
                <w:b/>
                <w:color w:val="FFFFFF"/>
                <w:sz w:val="21"/>
              </w:rPr>
              <w:t>Cost</w:t>
            </w:r>
          </w:p>
        </w:tc>
        <w:tc>
          <w:tcPr>
            <w:tcW w:type="dxa" w:w="5460"/>
            <w:shd w:val="clear" w:color="auto" w:fill="2E5A88"/>
          </w:tcPr>
          <w:p>
            <w:r>
              <w:rPr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</w:rPr>
              <w:t>AI1</w:t>
            </w:r>
          </w:p>
        </w:tc>
        <w:tc>
          <w:tcPr>
            <w:tcW w:type="dxa" w:w="2200"/>
          </w:tcPr>
          <w:p>
            <w:r>
              <w:rPr>
                <w:sz w:val="20"/>
              </w:rPr>
              <w:t>Listing Rewrite</w:t>
            </w:r>
          </w:p>
        </w:tc>
        <w:tc>
          <w:tcPr>
            <w:tcW w:type="dxa" w:w="900"/>
          </w:tcPr>
          <w:p>
            <w:r>
              <w:rPr>
                <w:sz w:val="20"/>
              </w:rPr>
              <w:t>1T</w:t>
            </w:r>
          </w:p>
        </w:tc>
        <w:tc>
          <w:tcPr>
            <w:tcW w:type="dxa" w:w="5460"/>
          </w:tcPr>
          <w:p>
            <w:r>
              <w:rPr>
                <w:sz w:val="20"/>
              </w:rPr>
              <w:t>Rewrites title + description in current market language (Haiku)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</w:rPr>
              <w:t>AI2</w:t>
            </w:r>
          </w:p>
        </w:tc>
        <w:tc>
          <w:tcPr>
            <w:tcW w:type="dxa" w:w="2200"/>
          </w:tcPr>
          <w:p>
            <w:r>
              <w:rPr>
                <w:sz w:val="20"/>
              </w:rPr>
              <w:t>Seller Audit</w:t>
            </w:r>
          </w:p>
        </w:tc>
        <w:tc>
          <w:tcPr>
            <w:tcW w:type="dxa" w:w="900"/>
          </w:tcPr>
          <w:p>
            <w:r>
              <w:rPr>
                <w:sz w:val="20"/>
              </w:rPr>
              <w:t>1T</w:t>
            </w:r>
          </w:p>
        </w:tc>
        <w:tc>
          <w:tcPr>
            <w:tcW w:type="dxa" w:w="5460"/>
          </w:tcPr>
          <w:p>
            <w:r>
              <w:rPr>
                <w:sz w:val="20"/>
              </w:rPr>
              <w:t>'Why am I not getting intros?' — 3 specific improvement actions (Haiku)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</w:rPr>
              <w:t>AI3</w:t>
            </w:r>
          </w:p>
        </w:tc>
        <w:tc>
          <w:tcPr>
            <w:tcW w:type="dxa" w:w="2200"/>
          </w:tcPr>
          <w:p>
            <w:r>
              <w:rPr>
                <w:sz w:val="20"/>
              </w:rPr>
              <w:t>Price Check</w:t>
            </w:r>
          </w:p>
        </w:tc>
        <w:tc>
          <w:tcPr>
            <w:tcW w:type="dxa" w:w="900"/>
          </w:tcPr>
          <w:p>
            <w:r>
              <w:rPr>
                <w:sz w:val="20"/>
              </w:rPr>
              <w:t>1T</w:t>
            </w:r>
          </w:p>
        </w:tc>
        <w:tc>
          <w:tcPr>
            <w:tcW w:type="dxa" w:w="5460"/>
          </w:tcPr>
          <w:p>
            <w:r>
              <w:rPr>
                <w:sz w:val="20"/>
              </w:rPr>
              <w:t>'Is this a fair price?' — market comparison for buyer (Sonnet)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</w:rPr>
              <w:t>AI4</w:t>
            </w:r>
          </w:p>
        </w:tc>
        <w:tc>
          <w:tcPr>
            <w:tcW w:type="dxa" w:w="2200"/>
          </w:tcPr>
          <w:p>
            <w:r>
              <w:rPr>
                <w:sz w:val="20"/>
              </w:rPr>
              <w:t>Yield Calculator</w:t>
            </w:r>
          </w:p>
        </w:tc>
        <w:tc>
          <w:tcPr>
            <w:tcW w:type="dxa" w:w="900"/>
          </w:tcPr>
          <w:p>
            <w:r>
              <w:rPr>
                <w:sz w:val="20"/>
              </w:rPr>
              <w:t>1T</w:t>
            </w:r>
          </w:p>
        </w:tc>
        <w:tc>
          <w:tcPr>
            <w:tcW w:type="dxa" w:w="5460"/>
          </w:tcPr>
          <w:p>
            <w:r>
              <w:rPr>
                <w:sz w:val="20"/>
              </w:rPr>
              <w:t>Gross/net yield, suburb benchmark, investment verdict (Haiku)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</w:rPr>
              <w:t>AI5</w:t>
            </w:r>
          </w:p>
        </w:tc>
        <w:tc>
          <w:tcPr>
            <w:tcW w:type="dxa" w:w="2200"/>
          </w:tcPr>
          <w:p>
            <w:r>
              <w:rPr>
                <w:sz w:val="20"/>
              </w:rPr>
              <w:t>Batch Card Listings</w:t>
            </w:r>
          </w:p>
        </w:tc>
        <w:tc>
          <w:tcPr>
            <w:tcW w:type="dxa" w:w="900"/>
          </w:tcPr>
          <w:p>
            <w:r>
              <w:rPr>
                <w:sz w:val="20"/>
              </w:rPr>
              <w:t>2T</w:t>
            </w:r>
          </w:p>
        </w:tc>
        <w:tc>
          <w:tcPr>
            <w:tcW w:type="dxa" w:w="5460"/>
          </w:tcPr>
          <w:p>
            <w:r>
              <w:rPr>
                <w:sz w:val="20"/>
              </w:rPr>
              <w:t>Vision AI identifies up to 20 collector cards, creates draft listings (Sonnet Vision)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</w:rPr>
              <w:t>AI6</w:t>
            </w:r>
          </w:p>
        </w:tc>
        <w:tc>
          <w:tcPr>
            <w:tcW w:type="dxa" w:w="2200"/>
          </w:tcPr>
          <w:p>
            <w:r>
              <w:rPr>
                <w:sz w:val="20"/>
              </w:rPr>
              <w:t>Batch Coin Listings</w:t>
            </w:r>
          </w:p>
        </w:tc>
        <w:tc>
          <w:tcPr>
            <w:tcW w:type="dxa" w:w="900"/>
          </w:tcPr>
          <w:p>
            <w:r>
              <w:rPr>
                <w:sz w:val="20"/>
              </w:rPr>
              <w:t>2T</w:t>
            </w:r>
          </w:p>
        </w:tc>
        <w:tc>
          <w:tcPr>
            <w:tcW w:type="dxa" w:w="5460"/>
          </w:tcPr>
          <w:p>
            <w:r>
              <w:rPr>
                <w:sz w:val="20"/>
              </w:rPr>
              <w:t>Coin-aware vision: denomination, mint year, condition, SA numismatic value (Sonnet Vision)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</w:rPr>
              <w:t>AI7</w:t>
            </w:r>
          </w:p>
        </w:tc>
        <w:tc>
          <w:tcPr>
            <w:tcW w:type="dxa" w:w="2200"/>
          </w:tcPr>
          <w:p>
            <w:r>
              <w:rPr>
                <w:sz w:val="20"/>
              </w:rPr>
              <w:t>Portfolio Import</w:t>
            </w:r>
          </w:p>
        </w:tc>
        <w:tc>
          <w:tcPr>
            <w:tcW w:type="dxa" w:w="900"/>
          </w:tcPr>
          <w:p>
            <w:r>
              <w:rPr>
                <w:sz w:val="20"/>
              </w:rPr>
              <w:t>3T</w:t>
            </w:r>
          </w:p>
        </w:tc>
        <w:tc>
          <w:tcPr>
            <w:tcW w:type="dxa" w:w="5460"/>
          </w:tcPr>
          <w:p>
            <w:r>
              <w:rPr>
                <w:sz w:val="20"/>
              </w:rPr>
              <w:t>Agent uploads PDF/photo set -&gt; AI extracts properties -&gt; draft listings (Sonnet Vision)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</w:rPr>
              <w:t>AI8</w:t>
            </w:r>
          </w:p>
        </w:tc>
        <w:tc>
          <w:tcPr>
            <w:tcW w:type="dxa" w:w="2200"/>
          </w:tcPr>
          <w:p>
            <w:r>
              <w:rPr>
                <w:sz w:val="20"/>
              </w:rPr>
              <w:t>Activity Log</w:t>
            </w:r>
          </w:p>
        </w:tc>
        <w:tc>
          <w:tcPr>
            <w:tcW w:type="dxa" w:w="90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5460"/>
          </w:tcPr>
          <w:p>
            <w:r>
              <w:rPr>
                <w:sz w:val="20"/>
              </w:rPr>
              <w:t>Timestamped event log per listing — no AI cost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</w:rPr>
              <w:t>AI9</w:t>
            </w:r>
          </w:p>
        </w:tc>
        <w:tc>
          <w:tcPr>
            <w:tcW w:type="dxa" w:w="2200"/>
          </w:tcPr>
          <w:p>
            <w:r>
              <w:rPr>
                <w:sz w:val="20"/>
              </w:rPr>
              <w:t>Financial Statement</w:t>
            </w:r>
          </w:p>
        </w:tc>
        <w:tc>
          <w:tcPr>
            <w:tcW w:type="dxa" w:w="900"/>
          </w:tcPr>
          <w:p>
            <w:r>
              <w:rPr>
                <w:sz w:val="20"/>
              </w:rPr>
              <w:t>1T</w:t>
            </w:r>
          </w:p>
        </w:tc>
        <w:tc>
          <w:tcPr>
            <w:tcW w:type="dxa" w:w="5460"/>
          </w:tcPr>
          <w:p>
            <w:r>
              <w:rPr>
                <w:sz w:val="20"/>
              </w:rPr>
              <w:t>Accountant-ready PDF/CSV for date range (ReportLab)</w:t>
            </w:r>
          </w:p>
        </w:tc>
      </w:tr>
      <w:tr>
        <w:tc>
          <w:tcPr>
            <w:tcW w:type="dxa" w:w="800"/>
          </w:tcPr>
          <w:p>
            <w:r>
              <w:rPr>
                <w:sz w:val="20"/>
              </w:rPr>
              <w:t>AI10</w:t>
            </w:r>
          </w:p>
        </w:tc>
        <w:tc>
          <w:tcPr>
            <w:tcW w:type="dxa" w:w="2200"/>
          </w:tcPr>
          <w:p>
            <w:r>
              <w:rPr>
                <w:sz w:val="20"/>
              </w:rPr>
              <w:t>Monthly Report</w:t>
            </w:r>
          </w:p>
        </w:tc>
        <w:tc>
          <w:tcPr>
            <w:tcW w:type="dxa" w:w="900"/>
          </w:tcPr>
          <w:p>
            <w:r>
              <w:rPr>
                <w:sz w:val="20"/>
              </w:rPr>
              <w:t>1T*</w:t>
            </w:r>
          </w:p>
        </w:tc>
        <w:tc>
          <w:tcPr>
            <w:tcW w:type="dxa" w:w="5460"/>
          </w:tcPr>
          <w:p>
            <w:r>
              <w:rPr>
                <w:sz w:val="20"/>
              </w:rPr>
              <w:t>Automated monthly performance email via n8n (*free on paid tiers)</w:t>
            </w:r>
          </w:p>
        </w:tc>
      </w:tr>
    </w:tbl>
    <w:p>
      <w:pPr>
        <w:spacing w:after="60"/>
      </w:pPr>
    </w:p>
    <w:p>
      <w:pPr>
        <w:pStyle w:val="Heading2"/>
      </w:pPr>
      <w:r>
        <w:t>3.7 AI Guardrail Architecture (New in v3.2)</w:t>
      </w:r>
    </w:p>
    <w:p>
      <w:pPr>
        <w:spacing w:after="160"/>
      </w:pPr>
      <w:r>
        <w:rPr>
          <w:b w:val="0"/>
          <w:i w:val="0"/>
          <w:sz w:val="21"/>
        </w:rPr>
        <w:t>All AI endpoints are protected by an existence gate: an indexed database lookup confirms the requesting email corresponds to a registered user before any Anthropic API call is made. Unknown emails receive HTTP 401. The gate adds approximately 0.1ms latency and has no user-visible impact for legitimate registered users.</w:t>
      </w:r>
    </w:p>
    <w:p>
      <w:pPr>
        <w:spacing w:after="160"/>
      </w:pPr>
      <w:r>
        <w:rPr>
          <w:b w:val="0"/>
          <w:i w:val="0"/>
          <w:sz w:val="21"/>
        </w:rPr>
        <w:t>A non-blocking spend register records every AI call (email, endpoint, model, estimated cost in USD) via a FastAPI BackgroundTasks task. An income-linked threshold alert fires a notification webhook when monthly AI spend exceeds a configurable percentage of monthly platform income. The alert fires at most once per day and never blocks or throttles any user request.</w:t>
      </w:r>
    </w:p>
    <w:p>
      <w:pPr>
        <w:pStyle w:val="ListBullet"/>
        <w:spacing w:after="100"/>
      </w:pPr>
      <w:r>
        <w:rPr>
          <w:sz w:val="21"/>
        </w:rPr>
        <w:t>Existence gate: stops anonymous scripted abuse without rate limiting or per-user counters</w:t>
      </w:r>
    </w:p>
    <w:p>
      <w:pPr>
        <w:pStyle w:val="ListBullet"/>
        <w:spacing w:after="100"/>
      </w:pPr>
      <w:r>
        <w:rPr>
          <w:sz w:val="21"/>
        </w:rPr>
        <w:t>Spend register: ai_spend_log table + ai_spend_config singleton (income, threshold %, alert contact)</w:t>
      </w:r>
    </w:p>
    <w:p>
      <w:pPr>
        <w:pStyle w:val="ListBullet"/>
        <w:spacing w:after="100"/>
      </w:pPr>
      <w:r>
        <w:rPr>
          <w:sz w:val="21"/>
        </w:rPr>
        <w:t>Alert trigger: N8N_WEBHOOK_AI_ALERT fires when spend/income ratio crosses threshold — informational only, no auto-cutoff</w:t>
      </w:r>
    </w:p>
    <w:p>
      <w:pPr>
        <w:pStyle w:val="Heading2"/>
      </w:pPr>
      <w:r>
        <w:t>3.8 World Heritage Content Layer (Updated v3.3)</w:t>
      </w:r>
    </w:p>
    <w:p>
      <w:pPr>
        <w:spacing w:after="160"/>
      </w:pPr>
      <w:r>
        <w:rPr>
          <w:b w:val="0"/>
          <w:i w:val="0"/>
          <w:sz w:val="21"/>
        </w:rPr>
        <w:t>The protectable concept is the METHOD: seller-linked structured place-metadata surfaced to buyers as a non-transactional informational overlay on an anonymous listing, together with an automatic proximity-and-category linker. The corpus size, data source, and link cap described below are current implementation details, not limitations of the method — the value lies in how the layer is used within the anonymous, commitment-gated marketplace, independent of how many sites the catalogue happens to contain.</w:t>
      </w:r>
    </w:p>
    <w:p>
      <w:pPr>
        <w:spacing w:after="160"/>
      </w:pPr>
      <w:r>
        <w:rPr>
          <w:b w:val="0"/>
          <w:i w:val="0"/>
          <w:sz w:val="21"/>
        </w:rPr>
        <w:t>As currently implemented, a structured content layer holds heritage and place sites (presently a Wikimedia-sourced corpus spanning many countries, e.g. UNESCO World Heritage, national parks, national museums, and archaeological sites). Sellers may link relevant sites to their listing, and an automatic proximity-and-category linker (auto_link_wonders) suggests contextually relevant sites for a listing based on its location and category while preserving any seller-set links. Heritage site detail (photos, description, history) is served from Wikimedia Commons under CC/Public Domain licence, with named-author attribution stored per record (photo_author / photo_licence / photo_source) and photo URLs verified before deploy. No heritage content is transactional.</w:t>
      </w:r>
    </w:p>
    <w:p>
      <w:pPr>
        <w:pStyle w:val="Heading2"/>
      </w:pPr>
      <w:r>
        <w:t>3.9 AI-Mediated Inbound Communication Triage (New in v3.3)</w:t>
      </w:r>
    </w:p>
    <w:p>
      <w:pPr>
        <w:spacing w:after="160"/>
      </w:pPr>
      <w:r>
        <w:rPr>
          <w:b w:val="0"/>
          <w:i w:val="0"/>
          <w:sz w:val="21"/>
        </w:rPr>
        <w:t>TrustSquare operates an autonomous inbound-email triage and conditional-response system for its customer-facing mailboxes (support, billing, legal, compliance). It extends the platform's AI-services and AI-guardrail architecture to customer-communication handling.</w:t>
      </w:r>
    </w:p>
    <w:p>
      <w:pPr>
        <w:spacing w:after="160"/>
      </w:pPr>
      <w:r>
        <w:rPr>
          <w:b w:val="0"/>
          <w:i w:val="0"/>
          <w:sz w:val="21"/>
        </w:rPr>
        <w:t>Inbound mail is received by a Cloudflare Email Worker, parsed (postal-mime), and POSTed to a backend endpoint (POST /email/inbound) authenticated by a shared secret header (X-Inbound-Secret / EMAIL_INBOUND_SECRET). Unauthenticated requests receive HTTP 401; the endpoint refuses all calls (HTTP 503) when the secret is unconfigured. The worker forwards a safety-net copy to a human inbox and is engineered never to bounce mail.</w:t>
      </w:r>
    </w:p>
    <w:p>
      <w:pPr>
        <w:spacing w:after="160"/>
      </w:pPr>
      <w:r>
        <w:rPr>
          <w:b w:val="0"/>
          <w:i w:val="0"/>
          <w:sz w:val="21"/>
        </w:rPr>
        <w:t>The backend invokes Claude Haiku under a constrained system prompt that returns strict JSON: {category, urgency, draft_reply, auto_safe}. The system prompt encodes platform invariants directly — never reveal seller identities or internal data, and never promise refunds because Tuppence is strictly non-refundable. Any parse or API failure falls back to a safe default (category 'other', auto_safe false) and never raises. Each classification is recorded in the AI spend register (3.7).</w:t>
      </w:r>
    </w:p>
    <w:p>
      <w:pPr>
        <w:spacing w:after="160"/>
      </w:pPr>
      <w:r>
        <w:rPr>
          <w:b w:val="0"/>
          <w:i w:val="0"/>
          <w:sz w:val="21"/>
        </w:rPr>
        <w:t>A reply is auto-sent only when ALL conditions hold conjunctively: operator flag EMAIL_AUTO_SEND=1; a configured sending credential (GMAIL_APP_PASSWORD); model auto_safe=true; category within the allow-list {support, billing}; and a non-empty draft. The default state is draft-only — every message is classified and stored, but nothing is sent. Legal, compliance, disputes, threats, and ambiguous mail are always held as drafts; spam is skipped. Permitted replies are sent via threaded SMTP (smtp.gmail.com:587 STARTTLS, In-Reply-To/References). Every message — sent, drafted, skipped, or failed — is persisted to an email_triage audit table; ops review via GET /admin/email-triage (API-key) and an obscure-URL dashboard panel (GET /dashboard/email-triage).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6FA"/>
          </w:tcPr>
          <w:p>
            <w:pPr>
              <w:spacing w:after="80"/>
            </w:pPr>
            <w:r>
              <w:rPr>
                <w:b w:val="0"/>
                <w:sz w:val="21"/>
              </w:rPr>
              <w:t>Novelty: the conservative auto-send gate requires the conjunction of a model self-assessment (auto_safe) AND an independent hard category allow-list before any autonomous reply — a model false-positive alone cannot trigger a send — while legal/compliance/ambiguous mail is structurally withheld and the platform's anonymity and non-refundable-currency invariants are encoded directly into the model's response constraints. This is a direct extension of the existence-gate philosophy of 3.7.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4. Patent 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00"/>
            <w:shd w:val="clear" w:color="auto" w:fill="2E5A88"/>
          </w:tcPr>
          <w:p>
            <w:r>
              <w:rPr>
                <w:b/>
                <w:color w:val="FFFFFF"/>
                <w:sz w:val="21"/>
              </w:rPr>
              <w:t>Claim</w:t>
            </w:r>
          </w:p>
        </w:tc>
        <w:tc>
          <w:tcPr>
            <w:tcW w:type="dxa" w:w="2600"/>
            <w:shd w:val="clear" w:color="auto" w:fill="2E5A88"/>
          </w:tcPr>
          <w:p>
            <w:r>
              <w:rPr>
                <w:b/>
                <w:color w:val="FFFFFF"/>
                <w:sz w:val="21"/>
              </w:rPr>
              <w:t>Title</w:t>
            </w:r>
          </w:p>
        </w:tc>
        <w:tc>
          <w:tcPr>
            <w:tcW w:type="dxa" w:w="5660"/>
            <w:shd w:val="clear" w:color="auto" w:fill="2E5A88"/>
          </w:tcPr>
          <w:p>
            <w:r>
              <w:rPr>
                <w:b/>
                <w:color w:val="FFFFFF"/>
                <w:sz w:val="21"/>
              </w:rPr>
              <w:t>Summary</w:t>
            </w:r>
          </w:p>
        </w:tc>
      </w:tr>
      <w:tr>
        <w:tc>
          <w:tcPr>
            <w:tcW w:type="dxa" w:w="1100"/>
          </w:tcPr>
          <w:p>
            <w:r>
              <w:rPr>
                <w:sz w:val="20"/>
              </w:rPr>
              <w:t>Claim 1</w:t>
            </w:r>
          </w:p>
        </w:tc>
        <w:tc>
          <w:tcPr>
            <w:tcW w:type="dxa" w:w="2600"/>
          </w:tcPr>
          <w:p>
            <w:r>
              <w:rPr>
                <w:sz w:val="20"/>
              </w:rPr>
              <w:t>Unified Participation Model</w:t>
            </w:r>
          </w:p>
        </w:tc>
        <w:tc>
          <w:tcPr>
            <w:tcW w:type="dxa" w:w="5660"/>
          </w:tcPr>
          <w:p>
            <w:r>
              <w:rPr>
                <w:sz w:val="20"/>
              </w:rPr>
              <w:t>Role derived from transaction state, not database column. Single user table; buyer/seller status emerges from activity.</w:t>
            </w:r>
          </w:p>
        </w:tc>
      </w:tr>
      <w:tr>
        <w:tc>
          <w:tcPr>
            <w:tcW w:type="dxa" w:w="1100"/>
          </w:tcPr>
          <w:p>
            <w:r>
              <w:rPr>
                <w:sz w:val="20"/>
              </w:rPr>
              <w:t>Claim 2</w:t>
            </w:r>
          </w:p>
        </w:tc>
        <w:tc>
          <w:tcPr>
            <w:tcW w:type="dxa" w:w="2600"/>
          </w:tcPr>
          <w:p>
            <w:r>
              <w:rPr>
                <w:sz w:val="20"/>
              </w:rPr>
              <w:t>Tuppence Introduction Currency</w:t>
            </w:r>
          </w:p>
        </w:tc>
        <w:tc>
          <w:tcPr>
            <w:tcW w:type="dxa" w:w="5660"/>
          </w:tcPr>
          <w:p>
            <w:r>
              <w:rPr>
                <w:sz w:val="20"/>
              </w:rPr>
              <w:t>Non-transferable, non-refundable commitment signal. Buyer-paid, fixed (not a % of price/value), pre-introduction, outcome-independent, paid blind into anonymity — the structural inverse of a referral/commission fee. Functions simultaneously as spam filter, commitment signal, and seller quality input.</w:t>
            </w:r>
          </w:p>
        </w:tc>
      </w:tr>
      <w:tr>
        <w:tc>
          <w:tcPr>
            <w:tcW w:type="dxa" w:w="1100"/>
          </w:tcPr>
          <w:p>
            <w:r>
              <w:rPr>
                <w:sz w:val="20"/>
              </w:rPr>
              <w:t>Claim 3</w:t>
            </w:r>
          </w:p>
        </w:tc>
        <w:tc>
          <w:tcPr>
            <w:tcW w:type="dxa" w:w="2600"/>
          </w:tcPr>
          <w:p>
            <w:r>
              <w:rPr>
                <w:sz w:val="20"/>
              </w:rPr>
              <w:t>Anonymous Introduction Protocol</w:t>
            </w:r>
          </w:p>
        </w:tc>
        <w:tc>
          <w:tcPr>
            <w:tcW w:type="dxa" w:w="5660"/>
          </w:tcPr>
          <w:p>
            <w:r>
              <w:rPr>
                <w:sz w:val="20"/>
              </w:rPr>
              <w:t>No PII transmitted until bilateral simultaneous consent. Seller identity withheld until mutual acceptance.</w:t>
            </w:r>
          </w:p>
        </w:tc>
      </w:tr>
      <w:tr>
        <w:tc>
          <w:tcPr>
            <w:tcW w:type="dxa" w:w="1100"/>
          </w:tcPr>
          <w:p>
            <w:r>
              <w:rPr>
                <w:sz w:val="20"/>
              </w:rPr>
              <w:t>Claim 4</w:t>
            </w:r>
          </w:p>
        </w:tc>
        <w:tc>
          <w:tcPr>
            <w:tcW w:type="dxa" w:w="2600"/>
          </w:tcPr>
          <w:p>
            <w:r>
              <w:rPr>
                <w:sz w:val="20"/>
              </w:rPr>
              <w:t>Trust Score Composite</w:t>
            </w:r>
          </w:p>
        </w:tc>
        <w:tc>
          <w:tcPr>
            <w:tcW w:type="dxa" w:w="5660"/>
          </w:tcPr>
          <w:p>
            <w:r>
              <w:rPr>
                <w:sz w:val="20"/>
              </w:rPr>
              <w:t>Server-computed from verifiable data only; no self-reporting. Weighted across credentials, track record, response rate, tenure.</w:t>
            </w:r>
          </w:p>
        </w:tc>
      </w:tr>
      <w:tr>
        <w:tc>
          <w:tcPr>
            <w:tcW w:type="dxa" w:w="1100"/>
          </w:tcPr>
          <w:p>
            <w:r>
              <w:rPr>
                <w:sz w:val="20"/>
              </w:rPr>
              <w:t>Claim 5</w:t>
            </w:r>
          </w:p>
        </w:tc>
        <w:tc>
          <w:tcPr>
            <w:tcW w:type="dxa" w:w="2600"/>
          </w:tcPr>
          <w:p>
            <w:r>
              <w:rPr>
                <w:sz w:val="20"/>
              </w:rPr>
              <w:t>Geo-Hierarchical Visibility</w:t>
            </w:r>
          </w:p>
        </w:tc>
        <w:tc>
          <w:tcPr>
            <w:tcW w:type="dxa" w:w="5660"/>
          </w:tcPr>
          <w:p>
            <w:r>
              <w:rPr>
                <w:sz w:val="20"/>
              </w:rPr>
              <w:t>4-level hierarchy (Country - Region - City - Suburb) gated by subscription tier.</w:t>
            </w:r>
          </w:p>
        </w:tc>
      </w:tr>
      <w:tr>
        <w:tc>
          <w:tcPr>
            <w:tcW w:type="dxa" w:w="1100"/>
          </w:tcPr>
          <w:p>
            <w:r>
              <w:rPr>
                <w:sz w:val="20"/>
              </w:rPr>
              <w:t>Claim 6</w:t>
            </w:r>
          </w:p>
        </w:tc>
        <w:tc>
          <w:tcPr>
            <w:tcW w:type="dxa" w:w="2600"/>
          </w:tcPr>
          <w:p>
            <w:r>
              <w:rPr>
                <w:sz w:val="20"/>
              </w:rPr>
              <w:t>Founding Seller Cohort</w:t>
            </w:r>
          </w:p>
        </w:tc>
        <w:tc>
          <w:tcPr>
            <w:tcW w:type="dxa" w:w="5660"/>
          </w:tcPr>
          <w:p>
            <w:r>
              <w:rPr>
                <w:sz w:val="20"/>
              </w:rPr>
              <w:t>Permanent priority placement as launch incentive — recorded in perpetuity on each founding seller's profile.</w:t>
            </w:r>
          </w:p>
        </w:tc>
      </w:tr>
      <w:tr>
        <w:tc>
          <w:tcPr>
            <w:tcW w:type="dxa" w:w="1100"/>
          </w:tcPr>
          <w:p>
            <w:r>
              <w:rPr>
                <w:sz w:val="20"/>
              </w:rPr>
              <w:t>Claim 7</w:t>
            </w:r>
          </w:p>
        </w:tc>
        <w:tc>
          <w:tcPr>
            <w:tcW w:type="dxa" w:w="2600"/>
          </w:tcPr>
          <w:p>
            <w:r>
              <w:rPr>
                <w:sz w:val="20"/>
              </w:rPr>
              <w:t>Combination Claim</w:t>
            </w:r>
          </w:p>
        </w:tc>
        <w:tc>
          <w:tcPr>
            <w:tcW w:type="dxa" w:w="5660"/>
          </w:tcPr>
          <w:p>
            <w:r>
              <w:rPr>
                <w:sz w:val="20"/>
              </w:rPr>
              <w:t>Claims 1-6 operating as an integrated platform, extended by 5-tier slot enforcement, Tuppence-gated AI Services, and the AI Guardrail Architecture — the combination is non-obvious even where individual elements may not be.</w:t>
            </w:r>
          </w:p>
        </w:tc>
      </w:tr>
      <w:tr>
        <w:tc>
          <w:tcPr>
            <w:tcW w:type="dxa" w:w="1100"/>
          </w:tcPr>
          <w:p>
            <w:r>
              <w:rPr>
                <w:sz w:val="20"/>
              </w:rPr>
              <w:t>Claim 8</w:t>
            </w:r>
          </w:p>
        </w:tc>
        <w:tc>
          <w:tcPr>
            <w:tcW w:type="dxa" w:w="2600"/>
          </w:tcPr>
          <w:p>
            <w:r>
              <w:rPr>
                <w:sz w:val="20"/>
              </w:rPr>
              <w:t>Heritage Content Linking (dependent on Claim 1)</w:t>
            </w:r>
          </w:p>
        </w:tc>
        <w:tc>
          <w:tcPr>
            <w:tcW w:type="dxa" w:w="5660"/>
          </w:tcPr>
          <w:p>
            <w:r>
              <w:rPr>
                <w:sz w:val="20"/>
              </w:rPr>
              <w:t>Method: seller-linked structured place-metadata surfaced as a non-transactional overlay on an anonymous listing, with automatic proximity/category linking. Catalogue size and link cap are non-limiting implementation detail, not claim elements.</w:t>
            </w:r>
          </w:p>
        </w:tc>
      </w:tr>
      <w:tr>
        <w:tc>
          <w:tcPr>
            <w:tcW w:type="dxa" w:w="1100"/>
          </w:tcPr>
          <w:p>
            <w:r>
              <w:rPr>
                <w:sz w:val="20"/>
              </w:rPr>
              <w:t>Claim 9</w:t>
            </w:r>
          </w:p>
        </w:tc>
        <w:tc>
          <w:tcPr>
            <w:tcW w:type="dxa" w:w="2600"/>
          </w:tcPr>
          <w:p>
            <w:r>
              <w:rPr>
                <w:sz w:val="20"/>
              </w:rPr>
              <w:t>AI-Mediated Inbound Communication Triage (NEW v3.3)</w:t>
            </w:r>
          </w:p>
        </w:tc>
        <w:tc>
          <w:tcPr>
            <w:tcW w:type="dxa" w:w="5660"/>
          </w:tcPr>
          <w:p>
            <w:r>
              <w:rPr>
                <w:sz w:val="20"/>
              </w:rPr>
              <w:t>Secret-auth edge ingestion gate + LLM structured classification (category/urgency/draft/auto_safe) + conservative conjunctive auto-send gate (model self-assessment AND category allow-list; legal/compliance/ambiguous always held). Threaded SMTP reply + audit table. Extends the AI Guardrail Architecture (Claim 7).</w:t>
            </w:r>
          </w:p>
        </w:tc>
      </w:tr>
    </w:tbl>
    <w:p>
      <w:pPr>
        <w:spacing w:after="60"/>
      </w:pPr>
    </w:p>
    <w:p>
      <w:pPr>
        <w:pStyle w:val="Heading1"/>
      </w:pPr>
      <w:r>
        <w:t>5. Three-Stream Revenue Model</w:t>
      </w:r>
    </w:p>
    <w:p>
      <w:pPr>
        <w:spacing w:after="160"/>
      </w:pPr>
      <w:r>
        <w:rPr>
          <w:b w:val="0"/>
          <w:i w:val="0"/>
          <w:sz w:val="21"/>
        </w:rPr>
        <w:t>TrustSquare generates revenue across three independent streams: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shd w:val="clear" w:color="auto" w:fill="2E5A88"/>
          </w:tcPr>
          <w:p>
            <w:r>
              <w:rPr>
                <w:b/>
                <w:color w:val="FFFFFF"/>
                <w:sz w:val="21"/>
              </w:rPr>
              <w:t>Stream</w:t>
            </w:r>
          </w:p>
        </w:tc>
        <w:tc>
          <w:tcPr>
            <w:tcW w:type="dxa" w:w="1700"/>
            <w:shd w:val="clear" w:color="auto" w:fill="2E5A88"/>
          </w:tcPr>
          <w:p>
            <w:r>
              <w:rPr>
                <w:b/>
                <w:color w:val="FFFFFF"/>
                <w:sz w:val="21"/>
              </w:rPr>
              <w:t>Y1 Mix (est.)</w:t>
            </w:r>
          </w:p>
        </w:tc>
        <w:tc>
          <w:tcPr>
            <w:tcW w:type="dxa" w:w="5460"/>
            <w:shd w:val="clear" w:color="auto" w:fill="2E5A88"/>
          </w:tcPr>
          <w:p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</w:rPr>
              <w:t>Subscriptions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  <w:t>~68%</w:t>
            </w:r>
          </w:p>
        </w:tc>
        <w:tc>
          <w:tcPr>
            <w:tcW w:type="dxa" w:w="5460"/>
          </w:tcPr>
          <w:p>
            <w:r>
              <w:rPr>
                <w:sz w:val="20"/>
              </w:rPr>
              <w:t>Five tiers ($0-$100/mo). Recurring monthly. Slot-limited.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</w:rPr>
              <w:t>Introductions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  <w:t>~18%</w:t>
            </w:r>
          </w:p>
        </w:tc>
        <w:tc>
          <w:tcPr>
            <w:tcW w:type="dxa" w:w="5460"/>
          </w:tcPr>
          <w:p>
            <w:r>
              <w:rPr>
                <w:sz w:val="20"/>
              </w:rPr>
              <w:t>1 Tuppence ($2) per accepted introduction. Charged to buyer on acceptance.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</w:rPr>
              <w:t>AI Services</w:t>
            </w:r>
          </w:p>
        </w:tc>
        <w:tc>
          <w:tcPr>
            <w:tcW w:type="dxa" w:w="1700"/>
          </w:tcPr>
          <w:p>
            <w:r>
              <w:rPr>
                <w:sz w:val="20"/>
              </w:rPr>
              <w:t>~14%</w:t>
            </w:r>
          </w:p>
        </w:tc>
        <w:tc>
          <w:tcPr>
            <w:tcW w:type="dxa" w:w="5460"/>
          </w:tcPr>
          <w:p>
            <w:r>
              <w:rPr>
                <w:sz w:val="20"/>
              </w:rPr>
              <w:t>Tuppence-gated. Per-call micro-payments. Grows with seller adoption.</w:t>
            </w:r>
          </w:p>
        </w:tc>
      </w:tr>
    </w:tbl>
    <w:p>
      <w:pPr>
        <w:spacing w:after="60"/>
      </w:pPr>
    </w:p>
    <w:p>
      <w:pPr>
        <w:spacing w:after="160"/>
      </w:pPr>
      <w:r>
        <w:rPr>
          <w:b w:val="0"/>
          <w:i w:val="0"/>
          <w:sz w:val="21"/>
        </w:rPr>
        <w:t>Projected Year 1 total revenue: $235,154 at ~96% operating margin. Year 3 projection: $3.88M. AI services revenue is structurally high-margin — Anthropic API cost averages $0.015-$0.04 per call against $2.00 per Tuppence charged. AI email triage (3.9) adds ~$0.0023 per inbound email classified (Haiku); at pre-launch volumes this is negligible.</w:t>
      </w:r>
    </w:p>
    <w:p>
      <w:pPr>
        <w:pStyle w:val="Heading1"/>
      </w:pPr>
      <w:r>
        <w:t>6. Competitive Differentiation</w:t>
      </w:r>
    </w:p>
    <w:p>
      <w:pPr>
        <w:spacing w:after="160"/>
      </w:pPr>
      <w:r>
        <w:rPr>
          <w:b w:val="0"/>
          <w:i w:val="0"/>
          <w:sz w:val="21"/>
        </w:rPr>
        <w:t>No existing marketplace platform combines: (i) permanent seller anonymity until mutual agreement; (ii) structurally non-refundable buyer commitment prior to identity disclosure; (iii) a platform-computed trust signal as the primary pre-commitment evaluation mechanism; (iv) seller discretion to accept or decline each introduction individually; (v) AI-powered listing services gated by the same commitment currency; and (vi) an AI-mediated inbound communication triage system that enforces those same invariants on its own customer-support replies.</w:t>
      </w:r>
    </w:p>
    <w:p>
      <w:pPr>
        <w:spacing w:after="160"/>
      </w:pPr>
      <w:r>
        <w:rPr>
          <w:b w:val="0"/>
          <w:i w:val="0"/>
          <w:sz w:val="21"/>
        </w:rPr>
        <w:t>The introduction charge is also categorically distinct from the referral- and commission-fee models used by lead-generation and brokerage platforms: those fees are seller-paid, transaction-contingent, and typically proportional to deal value, and are paid between known parties on or after a concluded transaction. TrustSquare's charge is the inverse — buyer-paid, fixed, pre-introduction, outcome-independent, non-refundable, and paid blind into mutual anonymity. This is the basis on which the platform is differentiated from, and not anticipated by, referral/commission prior art.</w:t>
      </w:r>
    </w:p>
    <w:p>
      <w:pPr>
        <w:spacing w:after="160"/>
      </w:pPr>
      <w:r>
        <w:rPr>
          <w:b w:val="0"/>
          <w:i w:val="0"/>
          <w:sz w:val="21"/>
        </w:rPr>
        <w:t>Initial target: South Africa (property agents, domestic services, professional services). Expansion: city-by-city rollout using CityLauncher recruitment tool. Wave 1 cities: New York, London, Sydney.</w:t>
      </w:r>
    </w:p>
    <w:p>
      <w:pPr>
        <w:pStyle w:val="Heading1"/>
      </w:pPr>
      <w:r>
        <w:t>7. Infrastructure &amp; Security Architecture</w:t>
      </w:r>
    </w:p>
    <w:p>
      <w:pPr>
        <w:pStyle w:val="Heading2"/>
      </w:pPr>
      <w:r>
        <w:t>7.1 Current Stack (BEA v1.3.4 — May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00"/>
            <w:shd w:val="clear" w:color="auto" w:fill="2E5A88"/>
          </w:tcPr>
          <w:p>
            <w:r>
              <w:rPr>
                <w:b/>
                <w:color w:val="FFFFFF"/>
                <w:sz w:val="21"/>
              </w:rPr>
              <w:t>Component</w:t>
            </w:r>
          </w:p>
        </w:tc>
        <w:tc>
          <w:tcPr>
            <w:tcW w:type="dxa" w:w="7160"/>
            <w:shd w:val="clear" w:color="auto" w:fill="2E5A88"/>
          </w:tcPr>
          <w:p>
            <w:r>
              <w:rPr>
                <w:b/>
                <w:color w:val="FFFFFF"/>
                <w:sz w:val="21"/>
              </w:rPr>
              <w:t>Detail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</w:rPr>
              <w:t>Application</w:t>
            </w:r>
          </w:p>
        </w:tc>
        <w:tc>
          <w:tcPr>
            <w:tcW w:type="dxa" w:w="7160"/>
          </w:tcPr>
          <w:p>
            <w:r>
              <w:rPr>
                <w:sz w:val="20"/>
              </w:rPr>
              <w:t>FastAPI (Python) - Hetzner CPX32 (8GB RAM, 4 vCPU, 160GB NVMe) - Ubuntu 24.04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7160"/>
          </w:tcPr>
          <w:p>
            <w:r>
              <w:rPr>
                <w:sz w:val="20"/>
              </w:rPr>
              <w:t>SQLite WAL mode - daily R2 backups - 14-day retention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</w:rPr>
              <w:t>Media storage</w:t>
            </w:r>
          </w:p>
        </w:tc>
        <w:tc>
          <w:tcPr>
            <w:tcW w:type="dxa" w:w="7160"/>
          </w:tcPr>
          <w:p>
            <w:r>
              <w:rPr>
                <w:sz w:val="20"/>
              </w:rPr>
              <w:t>Cloudflare R2 (EU) - zero egress cost - local mirror on Hetzner disk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</w:rPr>
              <w:t>Volume</w:t>
            </w:r>
          </w:p>
        </w:tc>
        <w:tc>
          <w:tcPr>
            <w:tcW w:type="dxa" w:w="7160"/>
          </w:tcPr>
          <w:p>
            <w:r>
              <w:rPr>
                <w:sz w:val="20"/>
              </w:rPr>
              <w:t>100GB Hetzner independent block storage - used for Overpass OSM DB (39GB)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</w:rPr>
              <w:t>AI provider</w:t>
            </w:r>
          </w:p>
        </w:tc>
        <w:tc>
          <w:tcPr>
            <w:tcW w:type="dxa" w:w="7160"/>
          </w:tcPr>
          <w:p>
            <w:r>
              <w:rPr>
                <w:sz w:val="20"/>
              </w:rPr>
              <w:t>Anthropic API - claude-haiku-4-5 + claude-sonnet-4-6 - existence-gated - spend-logged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7160"/>
          </w:tcPr>
          <w:p>
            <w:r>
              <w:rPr>
                <w:sz w:val="20"/>
              </w:rPr>
              <w:t>Cloudflare Email Routing + Email Worker -&gt; POST /email/inbound (secret-auth) -&gt; Claude Haiku triage -&gt; optional Gmail SMTP reply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</w:rPr>
              <w:t>Automation</w:t>
            </w:r>
          </w:p>
        </w:tc>
        <w:tc>
          <w:tcPr>
            <w:tcW w:type="dxa" w:w="7160"/>
          </w:tcPr>
          <w:p>
            <w:r>
              <w:rPr>
                <w:sz w:val="20"/>
              </w:rPr>
              <w:t>n8n (Docker) - email workflows - spend alert webhooks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</w:rPr>
              <w:t>DNS/CDN</w:t>
            </w:r>
          </w:p>
        </w:tc>
        <w:tc>
          <w:tcPr>
            <w:tcW w:type="dxa" w:w="7160"/>
          </w:tcPr>
          <w:p>
            <w:r>
              <w:rPr>
                <w:sz w:val="20"/>
              </w:rPr>
              <w:t>Cloudflare - DDoS protection - cache purge API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</w:rPr>
              <w:t>SSL</w:t>
            </w:r>
          </w:p>
        </w:tc>
        <w:tc>
          <w:tcPr>
            <w:tcW w:type="dxa" w:w="7160"/>
          </w:tcPr>
          <w:p>
            <w:r>
              <w:rPr>
                <w:sz w:val="20"/>
              </w:rPr>
              <w:t>Let's Encrypt - auto-renew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7160"/>
          </w:tcPr>
          <w:p>
            <w:r>
              <w:rPr>
                <w:sz w:val="20"/>
              </w:rPr>
              <w:t>Paystack (ZA) - test mode - live mode pending CIPC registration</w:t>
            </w:r>
          </w:p>
        </w:tc>
      </w:tr>
    </w:tbl>
    <w:p>
      <w:pPr>
        <w:spacing w:after="60"/>
      </w:pPr>
    </w:p>
    <w:p>
      <w:pPr>
        <w:pStyle w:val="Heading2"/>
      </w:pPr>
      <w:r>
        <w:t>7.2 Security Architecture</w:t>
      </w:r>
    </w:p>
    <w:p>
      <w:pPr>
        <w:pStyle w:val="ListBullet"/>
        <w:spacing w:after="100"/>
      </w:pPr>
      <w:r>
        <w:rPr>
          <w:sz w:val="21"/>
        </w:rPr>
        <w:t>Authentication: Magic link (no password storage); email-based listing edit auth</w:t>
      </w:r>
    </w:p>
    <w:p>
      <w:pPr>
        <w:pStyle w:val="ListBullet"/>
        <w:spacing w:after="100"/>
      </w:pPr>
      <w:r>
        <w:rPr>
          <w:sz w:val="21"/>
        </w:rPr>
        <w:t>AI guardrail: Existence gate on all AI endpoints — registered email required before any Anthropic call</w:t>
      </w:r>
    </w:p>
    <w:p>
      <w:pPr>
        <w:pStyle w:val="ListBullet"/>
        <w:spacing w:after="100"/>
      </w:pPr>
      <w:r>
        <w:rPr>
          <w:sz w:val="21"/>
        </w:rPr>
        <w:t>Inbound email gate: shared-secret header (X-Inbound-Secret) on POST /email/inbound; 401 on bad secret, 503 when unconfigured; conservative auto-send gate holds legal/compliance/ambiguous mail</w:t>
      </w:r>
    </w:p>
    <w:p>
      <w:pPr>
        <w:pStyle w:val="ListBullet"/>
        <w:spacing w:after="100"/>
      </w:pPr>
      <w:r>
        <w:rPr>
          <w:sz w:val="21"/>
        </w:rPr>
        <w:t>Spend monitoring: Non-blocking spend register with income-linked threshold alerts</w:t>
      </w:r>
    </w:p>
    <w:p>
      <w:pPr>
        <w:pStyle w:val="ListBullet"/>
        <w:spacing w:after="100"/>
      </w:pPr>
      <w:r>
        <w:rPr>
          <w:sz w:val="21"/>
        </w:rPr>
        <w:t>API: Rate limiting on all endpoints; request signing for sensitive mutations</w:t>
      </w:r>
    </w:p>
    <w:p>
      <w:pPr>
        <w:pStyle w:val="ListBullet"/>
        <w:spacing w:after="100"/>
      </w:pPr>
      <w:r>
        <w:rPr>
          <w:sz w:val="21"/>
        </w:rPr>
        <w:t>Email: DMARC + DKIM + SPF on all sending domains</w:t>
      </w:r>
    </w:p>
    <w:p>
      <w:pPr>
        <w:pStyle w:val="ListBullet"/>
        <w:spacing w:after="100"/>
      </w:pPr>
      <w:r>
        <w:rPr>
          <w:sz w:val="21"/>
        </w:rPr>
        <w:t>Data: No PII transmitted until bilateral consent; seller email never exposed in API responses</w:t>
      </w:r>
    </w:p>
    <w:p>
      <w:pPr>
        <w:pStyle w:val="Heading1"/>
      </w:pPr>
      <w:r>
        <w:t>8. Business Model Summary</w:t>
      </w:r>
    </w:p>
    <w:p>
      <w:pPr>
        <w:pStyle w:val="ListBullet"/>
        <w:spacing w:after="100"/>
      </w:pPr>
      <w:r>
        <w:rPr>
          <w:sz w:val="21"/>
        </w:rPr>
        <w:t>Buyer revenue: Tuppence bundle purchases (1T = $2 USD) for introductions and AI services</w:t>
      </w:r>
    </w:p>
    <w:p>
      <w:pPr>
        <w:pStyle w:val="ListBullet"/>
        <w:spacing w:after="100"/>
      </w:pPr>
      <w:r>
        <w:rPr>
          <w:sz w:val="21"/>
        </w:rPr>
        <w:t>Seller revenue: Subscription tiers ($0-$100/month, 5 tiers, slot-limited)</w:t>
      </w:r>
    </w:p>
    <w:p>
      <w:pPr>
        <w:pStyle w:val="ListBullet"/>
        <w:spacing w:after="100"/>
      </w:pPr>
      <w:r>
        <w:rPr>
          <w:sz w:val="21"/>
        </w:rPr>
        <w:t>AI services revenue: Per-call Tuppence micro-payments for AI listing, audit, and analysis tools</w:t>
      </w:r>
    </w:p>
    <w:p>
      <w:pPr>
        <w:pStyle w:val="ListBullet"/>
        <w:spacing w:after="100"/>
      </w:pPr>
      <w:r>
        <w:rPr>
          <w:sz w:val="21"/>
        </w:rPr>
        <w:t>No advertising revenue. No commission on transactions. No data sales.</w:t>
      </w:r>
    </w:p>
    <w:p>
      <w:pPr>
        <w:spacing w:after="160"/>
      </w:pPr>
      <w:r>
        <w:rPr>
          <w:b w:val="0"/>
          <w:i w:val="0"/>
          <w:sz w:val="21"/>
        </w:rPr>
        <w:t>Merchant of Record (Paddle/Stripe) for international buyers. SA buyers via Paystack.</w:t>
      </w:r>
    </w:p>
    <w:p>
      <w:pPr>
        <w:pStyle w:val="Heading1"/>
      </w:pPr>
      <w:r>
        <w:t>9.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00"/>
            <w:shd w:val="clear" w:color="auto" w:fill="2E5A88"/>
          </w:tcPr>
          <w:p>
            <w:r>
              <w:rPr>
                <w:b/>
                <w:color w:val="FFFFFF"/>
                <w:sz w:val="21"/>
              </w:rPr>
              <w:t>Term</w:t>
            </w:r>
          </w:p>
        </w:tc>
        <w:tc>
          <w:tcPr>
            <w:tcW w:type="dxa" w:w="6960"/>
            <w:shd w:val="clear" w:color="auto" w:fill="2E5A88"/>
          </w:tcPr>
          <w:p>
            <w:r>
              <w:rPr>
                <w:b/>
                <w:color w:val="FFFFFF"/>
                <w:sz w:val="21"/>
              </w:rPr>
              <w:t>Definition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</w:rPr>
              <w:t>BEA</w:t>
            </w:r>
          </w:p>
        </w:tc>
        <w:tc>
          <w:tcPr>
            <w:tcW w:type="dxa" w:w="6960"/>
          </w:tcPr>
          <w:p>
            <w:r>
              <w:rPr>
                <w:sz w:val="20"/>
              </w:rPr>
              <w:t>Backend Agent — the FastAPI application (bea_main.py)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</w:rPr>
              <w:t>FEA</w:t>
            </w:r>
          </w:p>
        </w:tc>
        <w:tc>
          <w:tcPr>
            <w:tcW w:type="dxa" w:w="6960"/>
          </w:tcPr>
          <w:p>
            <w:r>
              <w:rPr>
                <w:sz w:val="20"/>
              </w:rPr>
              <w:t>Frontend Agent — the single-page buyer app (marketsquare.html)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</w:rPr>
              <w:t>Tuppence</w:t>
            </w:r>
          </w:p>
        </w:tc>
        <w:tc>
          <w:tcPr>
            <w:tcW w:type="dxa" w:w="6960"/>
          </w:tcPr>
          <w:p>
            <w:r>
              <w:rPr>
                <w:sz w:val="20"/>
              </w:rPr>
              <w:t>Platform introduction and AI service currency (1T = $2 USD)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</w:rPr>
              <w:t>Introduction</w:t>
            </w:r>
          </w:p>
        </w:tc>
        <w:tc>
          <w:tcPr>
            <w:tcW w:type="dxa" w:w="6960"/>
          </w:tcPr>
          <w:p>
            <w:r>
              <w:rPr>
                <w:sz w:val="20"/>
              </w:rPr>
              <w:t>A buyer-initiated contact request, paid in Tuppence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</w:rPr>
              <w:t>Trust Score</w:t>
            </w:r>
          </w:p>
        </w:tc>
        <w:tc>
          <w:tcPr>
            <w:tcW w:type="dxa" w:w="6960"/>
          </w:tcPr>
          <w:p>
            <w:r>
              <w:rPr>
                <w:sz w:val="20"/>
              </w:rPr>
              <w:t>Composite seller reputation metric (0-100), server-computed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</w:rPr>
              <w:t>Founding Seller</w:t>
            </w:r>
          </w:p>
        </w:tc>
        <w:tc>
          <w:tcPr>
            <w:tcW w:type="dxa" w:w="6960"/>
          </w:tcPr>
          <w:p>
            <w:r>
              <w:rPr>
                <w:sz w:val="20"/>
              </w:rPr>
              <w:t>Member of the initial 60-seller cohort for a given city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</w:rPr>
              <w:t>CityLauncher</w:t>
            </w:r>
          </w:p>
        </w:tc>
        <w:tc>
          <w:tcPr>
            <w:tcW w:type="dxa" w:w="6960"/>
          </w:tcPr>
          <w:p>
            <w:r>
              <w:rPr>
                <w:sz w:val="20"/>
              </w:rPr>
              <w:t>Recruitment microsite for seller onboarding by city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</w:rPr>
              <w:t>Existence Gate</w:t>
            </w:r>
          </w:p>
        </w:tc>
        <w:tc>
          <w:tcPr>
            <w:tcW w:type="dxa" w:w="6960"/>
          </w:tcPr>
          <w:p>
            <w:r>
              <w:rPr>
                <w:sz w:val="20"/>
              </w:rPr>
              <w:t>Indexed DB lookup confirming registered email before any AI API call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</w:rPr>
              <w:t>Spend Register</w:t>
            </w:r>
          </w:p>
        </w:tc>
        <w:tc>
          <w:tcPr>
            <w:tcW w:type="dxa" w:w="6960"/>
          </w:tcPr>
          <w:p>
            <w:r>
              <w:rPr>
                <w:sz w:val="20"/>
              </w:rPr>
              <w:t>ai_spend_log table + ai_spend_config singleton tracking AI cost vs. income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</w:rPr>
              <w:t>Slot Limit</w:t>
            </w:r>
          </w:p>
        </w:tc>
        <w:tc>
          <w:tcPr>
            <w:tcW w:type="dxa" w:w="6960"/>
          </w:tcPr>
          <w:p>
            <w:r>
              <w:rPr>
                <w:sz w:val="20"/>
              </w:rPr>
              <w:t>Maximum number of active listings permitted per subscription tier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</w:rPr>
              <w:t>Email Triage</w:t>
            </w:r>
          </w:p>
        </w:tc>
        <w:tc>
          <w:tcPr>
            <w:tcW w:type="dxa" w:w="6960"/>
          </w:tcPr>
          <w:p>
            <w:r>
              <w:rPr>
                <w:sz w:val="20"/>
              </w:rPr>
              <w:t>Secret-auth inbound-email classification + conservative auto-send pipeline (email_triage table)</w:t>
            </w:r>
          </w:p>
        </w:tc>
      </w:tr>
    </w:tbl>
    <w:p>
      <w:pPr>
        <w:spacing w:after="60"/>
      </w:pPr>
    </w:p>
    <w:p>
      <w:pPr>
        <w:pStyle w:val="Heading1"/>
      </w:pPr>
      <w:r>
        <w:t>10. Trademark &amp; Provisional Patent</w:t>
      </w:r>
    </w:p>
    <w:p>
      <w:pPr>
        <w:pStyle w:val="Heading2"/>
      </w:pPr>
      <w:r>
        <w:t>10.1 Trademark Filing — CIPRO</w:t>
      </w:r>
    </w:p>
    <w:p>
      <w:pPr>
        <w:spacing w:after="160"/>
      </w:pPr>
      <w:r>
        <w:rPr>
          <w:b w:val="0"/>
          <w:i w:val="0"/>
          <w:sz w:val="21"/>
        </w:rPr>
        <w:t>TrustSquare to be filed at CIPRO under Nice Classification:</w:t>
      </w:r>
    </w:p>
    <w:p>
      <w:pPr>
        <w:pStyle w:val="ListBullet"/>
        <w:spacing w:after="100"/>
      </w:pPr>
      <w:r>
        <w:rPr>
          <w:sz w:val="21"/>
        </w:rPr>
        <w:t>Class 35: Advertising; business management; business administration; online marketplace services</w:t>
      </w:r>
    </w:p>
    <w:p>
      <w:pPr>
        <w:pStyle w:val="ListBullet"/>
        <w:spacing w:after="100"/>
      </w:pPr>
      <w:r>
        <w:rPr>
          <w:sz w:val="21"/>
        </w:rPr>
        <w:t>Class 36: Financial services; electronic payment services; digital currency exchange</w:t>
      </w:r>
    </w:p>
    <w:p>
      <w:pPr>
        <w:pStyle w:val="ListBullet"/>
        <w:spacing w:after="100"/>
      </w:pPr>
      <w:r>
        <w:rPr>
          <w:sz w:val="21"/>
        </w:rPr>
        <w:t>Class 42: Scientific and technological services; software as a service; platform as a service</w:t>
      </w:r>
    </w:p>
    <w:p>
      <w:pPr>
        <w:spacing w:after="160"/>
      </w:pPr>
      <w:r>
        <w:rPr>
          <w:b w:val="0"/>
          <w:i w:val="0"/>
          <w:sz w:val="21"/>
        </w:rPr>
        <w:t>Madrid Protocol filing to follow within 12 months for international coverage (UK, EU, USA, Kenya, Nigeria).</w:t>
      </w:r>
    </w:p>
    <w:p>
      <w:pPr>
        <w:pStyle w:val="Heading2"/>
      </w:pPr>
      <w:r>
        <w:t>10.2 Provisional Patent — Filing Status</w:t>
      </w:r>
    </w:p>
    <w:p>
      <w:pPr>
        <w:spacing w:after="160"/>
      </w:pPr>
      <w:r>
        <w:rPr>
          <w:b w:val="0"/>
          <w:i w:val="0"/>
          <w:sz w:val="21"/>
        </w:rPr>
        <w:t>File with CIPRO on Day 0 (launch day). 9 claims form the basis of the provisional application (see Section 4). Pre-filing consultation memorandum and erratum completed May 2026 — available for instructed attorney review. Counsel firms: Adams &amp; Adams (Pretoria), Spoor &amp; Fisher (Pretoria), Bowmans (Johannesburg).</w:t>
      </w:r>
    </w:p>
    <w:p>
      <w:pPr>
        <w:spacing w:after="120"/>
      </w:pPr>
      <w:r>
        <w:rPr>
          <w:b/>
          <w:i w:val="0"/>
          <w:sz w:val="21"/>
        </w:rPr>
        <w:t>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6FA"/>
          </w:tcPr>
          <w:p>
            <w:pPr>
              <w:spacing w:after="80"/>
            </w:pPr>
            <w:r>
              <w:rPr>
                <w:b w:val="0"/>
                <w:sz w:val="21"/>
              </w:rPr>
              <w:t>v3.0 (April 2026): Initial provisional patent document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v3.1 (May 2026): Heritage layer, Claim 8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v3.2 (May 2026): Subscription tier redesign (5 tiers), AI Services revenue stream, AI guardrail architecture, spend register, infrastructure upgrade to CPX32</w:t>
            </w:r>
          </w:p>
          <w:p>
            <w:pPr>
              <w:spacing w:after="80"/>
            </w:pPr>
            <w:r>
              <w:rPr>
                <w:b/>
                <w:sz w:val="21"/>
              </w:rPr>
              <w:t>v3.3 (May 2026): Added 3.9 AI-Mediated Inbound Communication Triage (Session 94) and new Claim 9. Heritage layer (3.8) updated with current corpus and per-record Wikimedia attribution. Schema adds email_triage table. Infrastructure table notes Cloudflare Email Routing/Worker. Claim schedule now 9 claims. BEA v1.3.4.</w:t>
            </w:r>
          </w:p>
          <w:p>
            <w:pPr>
              <w:spacing w:after="80"/>
            </w:pPr>
            <w:r>
              <w:rPr>
                <w:b/>
                <w:sz w:val="21"/>
              </w:rPr>
              <w:t>v3.3 (rev., May 2026): Added explicit referral-/commission-fee distinction to 3.2, Section 6, and the Claim 2 summary (buyer-paid, fixed, pre-introduction, outcome-independent, non-refundable, paid blind into anonymity). Reframed 3.8 and the Claim 8 summary so the protectable subject matter is the METHOD; catalogue size and link cap stated as non-limiting implementation detail rather than claim elements.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 w:val="0"/>
          <w:i w:val="0"/>
          <w:color w:val="888888"/>
          <w:sz w:val="18"/>
        </w:rPr>
        <w:t>TrustSquare (Pty) Ltd  |  Reg 2026/340128/07  |  trustsquare.co  |  Director: David Maurice Conradie</w:t>
      </w:r>
    </w:p>
    <w:p>
      <w:pPr>
        <w:spacing w:after="160"/>
      </w:pPr>
      <w:r>
        <w:rPr>
          <w:b/>
          <w:i w:val="0"/>
          <w:color w:val="888888"/>
          <w:sz w:val="18"/>
        </w:rPr>
        <w:t>CONFIDENTIAL — Prior Art Disclosure  |  Not for public distribution until after provisional patent filing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E5A8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