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TrustSquare Canon Addendum №2 — Tuppence HOLD (DRAFT)</w:t>
      </w:r>
    </w:p>
    <w:p>
      <w:r>
        <w:t>10 June 2026 · staged by the CCP CC-001 run · Owner: David · ⚠ DRAFT — not canon until David approves. To be folded into Codex v4.8, IP Brief v6, EULA v1.7.</w:t>
      </w:r>
    </w:p>
    <w:p>
      <w:pPr>
        <w:pStyle w:val="Heading1"/>
      </w:pPr>
      <w:r>
        <w:t>Supersession of the published WhitePaper v2 charge-timing statement</w:t>
      </w:r>
    </w:p>
    <w:p>
      <w:r>
        <w:t>TrustSquare WhitePaper v2 is a PUBLISHED defensive disclosure and is never edited. Its statement that the introduction fee is “deducted only on seller acceptance” (and every equivalent charge-timing phrase in v2) accurately described the implementation observable at publication date and is hereby SUPERSEDED, not corrected.</w:t>
      </w:r>
    </w:p>
    <w:p>
      <w:r>
        <w:t>Superseding rule (Codex v4.8 §12): Tuppence is committed (held) at request, burned on delivery (seller acceptance for introductions; result delivery for AI services), and released in full on non-delivery (decline / 48-h expiry / AI failure). The payer is the service consumer (the requester).</w:t>
      </w:r>
    </w:p>
    <w:p>
      <w:r>
        <w:t>Continuity for the defensive-disclosure record: the commitment signal (non-refundable value surrendered before identity disclosure) is unchanged in substance and is in fact strengthened — commitment now provably precedes the request’s consideration, and the burn is delivery-conditional. Cash non-refundability, the absence of any inter-user transfer endpoint, and the absence of restitution logic are unchanged.</w:t>
      </w:r>
    </w:p>
    <w:p>
      <w:r>
        <w:t>A release of an un-spent hold is not a refund. No burned Tuppence is ever reversed; no cash moves.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