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TrustSquare IP &amp; Patent Strategy v4 — C10–C13 Addendum (DRAFT)</w:t>
      </w:r>
    </w:p>
    <w:p>
      <w:r>
        <w:t>10 June 2026 · CCP CC-001 · ⚠ DRAFT — David/counsel land. Strategy v4 otherwise unchanged and current.</w:t>
      </w:r>
    </w:p>
    <w:p>
      <w:r>
        <w:t>Claim table extension: C10 Hold-gated service commitment (NEW — MODERATE-STRONG: technical ledger mechanism, atomicity/idempotency recitations; survives as the charging spine of the C7 combination). C11 Decline-release (NEW — dependent; preserves no-restitution recitations). C12 Dual-trigger settlement (NEW — dependent; heterogeneous-services breadth). C13 Atomic/idempotent ledger enforcement (NEW — dependent; strongest §101/Alice step-2 material).</w:t>
      </w:r>
    </w:p>
    <w:p>
      <w:r>
        <w:t>Filing posture: include C10–C13 in the SA provisional (cheap priority anchor per v5 §6); fold C10 under the Claim 7 family for the PCT. No new independent claims; the two-anchor restructure (C7 + C2) stands.</w:t>
      </w:r>
    </w:p>
    <w:p>
      <w:r>
        <w:t>Claim 2 interaction: Element 2A redraft required (see IP Brief v6 DRAFT §0/§2) — counsel must verify the release path cannot be read as “restitution logic”. Recommended recitation: release returns only un-burned, committed units to the committing party; no value ever moves between users and no burn is reversible.</w:t>
      </w:r>
    </w:p>
    <w:p>
      <w:r>
        <w:t>Prior-art watchlist for C10–C13: payment pre-authorisation/escrow-hold patents (card auth holds), app-store entitlement metering, and API-credit hold systems — counsel to include in the PatBase/Derwent search already instructed in v5 §7. Differentiator to foreground: settlement bound to counterparty discretion on an anonymous introduction + one ledger gating human and LLM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