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"/>
      </w:pPr>
      <w:r>
        <w:rPr>
          <w:rFonts w:ascii="Calibri" w:cs="Calibri" w:eastAsia="Calibri" w:hAnsi="Calibri"/>
          <w:b/>
          <w:bCs/>
          <w:color w:val="B8862F"/>
          <w:spacing w:val="60"/>
          <w:sz w:val="18"/>
          <w:szCs w:val="18"/>
        </w:rPr>
        <w:t xml:space="preserve">TRUSTSQUARE · SOLAR COUNCIL CANON</w:t>
      </w:r>
    </w:p>
    <w:p>
      <w:pPr>
        <w:spacing w:after="26"/>
      </w:pPr>
      <w:r>
        <w:rPr>
          <w:rFonts w:ascii="Calibri" w:cs="Calibri" w:eastAsia="Calibri" w:hAnsi="Calibri"/>
          <w:b/>
          <w:bCs/>
          <w:color w:val="1E3A5F"/>
          <w:sz w:val="40"/>
          <w:szCs w:val="40"/>
        </w:rPr>
        <w:t xml:space="preserve">Canon Addendum №1 — The Founders Badge &amp; Launch Special</w:t>
      </w:r>
    </w:p>
    <w:p>
      <w:pPr>
        <w:spacing w:after="50"/>
      </w:pPr>
      <w:r>
        <w:rPr>
          <w:rFonts w:ascii="Calibri" w:cs="Calibri" w:eastAsia="Calibri" w:hAnsi="Calibri"/>
          <w:i/>
          <w:iCs/>
          <w:color w:val="5B6478"/>
          <w:sz w:val="22"/>
          <w:szCs w:val="22"/>
        </w:rPr>
        <w:t xml:space="preserve">Final terms, the Ruby Spark, and the supersessions that bring every canonical document in line</w:t>
      </w:r>
    </w:p>
    <w:p>
      <w:pPr>
        <w:spacing w:after="0"/>
      </w:pPr>
      <w:r>
        <w:rPr>
          <w:rFonts w:ascii="Calibri" w:cs="Calibri" w:eastAsia="Calibri" w:hAnsi="Calibri"/>
          <w:color w:val="5B6478"/>
          <w:sz w:val="18"/>
          <w:szCs w:val="18"/>
        </w:rPr>
        <w:t xml:space="preserve">6 June 2026 · Owner: David · To be folded into the next versions of the Codex (v4.7→), WhitePaper (v3.4→), IP Brief (v5→) and EULA (v1.5→v1.6)</w:t>
      </w:r>
    </w:p>
    <w:p>
      <w:pPr>
        <w:pBdr>
          <w:bottom w:val="single" w:color="B8862F" w:sz="18" w:space="6"/>
        </w:pBdr>
        <w:spacing w:after="160"/>
      </w:pPr>
    </w:p>
    <w:tbl>
      <w:tblPr>
        <w:tblW w:type="dxa" w:w="9640"/>
        <w:tblBorders>
          <w:top w:val="single" w:color="9A6212" w:sz="4"/>
          <w:left w:val="single" w:color="9A6212" w:sz="4"/>
          <w:bottom w:val="single" w:color="9A6212" w:sz="4"/>
          <w:right w:val="single" w:color="9A6212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shd w:fill="FBF1D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6212"/>
                <w:sz w:val="21"/>
                <w:szCs w:val="21"/>
              </w:rPr>
              <w:t xml:space="preserve">Standing of this document</w:t>
            </w:r>
          </w:p>
          <w:p>
            <w:pPr>
              <w:spacing w:after="0" w:line="26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21"/>
                <w:szCs w:val="21"/>
              </w:rPr>
              <w:t xml:space="preserve">TrustSquare WhitePaper v2 (21 April 2026) is a published defensive disclosure and is never edited.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21"/>
                <w:szCs w:val="21"/>
              </w:rPr>
              <w:t xml:space="preserve"> Its §9 architectural-enforcement principles — identity binding, non-transferability, permanent closure of the minting window, no administrative override — are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21"/>
                <w:szCs w:val="21"/>
              </w:rPr>
              <w:t xml:space="preserve">reaffirmed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21"/>
                <w:szCs w:val="21"/>
              </w:rPr>
              <w:t xml:space="preserve">. Its §9 programme *mechanics* (the AI-Guidance exchange-rate advantage, the $15 International qualifying tier, the launch-day-only window) are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21"/>
                <w:szCs w:val="21"/>
              </w:rPr>
              <w:t xml:space="preserve">superseded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21"/>
                <w:szCs w:val="21"/>
              </w:rPr>
              <w:t xml:space="preserve"> by the terms below. Every other canonical document is silent on the special and is brought in line by this addendum until its next version absorbs it.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 · The Launch Special — final terms</w:t>
      </w:r>
    </w:p>
    <w:tbl>
      <w:tblPr>
        <w:tblW w:type="dxa" w:w="9640"/>
        <w:tblBorders>
          <w:top w:val="single" w:color="D7DEEA" w:sz="1"/>
          <w:left w:val="single" w:color="D7DEEA" w:sz="1"/>
          <w:bottom w:val="single" w:color="D7DEEA" w:sz="1"/>
          <w:right w:val="single" w:color="D7DEEA" w:sz="1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shd w:fill="1E3A5F" w:color="auto" w:val="clear"/>
            <w:tcMar>
              <w:top w:type="dxa" w:w="85"/>
              <w:left w:type="dxa" w:w="140"/>
              <w:bottom w:type="dxa" w:w="85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340"/>
            <w:shd w:fill="1E3A5F" w:color="auto" w:val="clear"/>
            <w:tcMar>
              <w:top w:type="dxa" w:w="85"/>
              <w:left w:type="dxa" w:w="140"/>
              <w:bottom w:type="dxa" w:w="85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Final position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Qualifying action</w:t>
            </w:r>
          </w:p>
        </w:tc>
        <w:tc>
          <w:tcPr>
            <w:tcW w:type="dxa" w:w="734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Subscribe to 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$40 Business tier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 during the launch window, redeeming a launch number.</w:t>
            </w:r>
          </w:p>
        </w:tc>
      </w:tr>
      <w:tr>
        <w:tc>
          <w:tcPr>
            <w:tcW w:type="dxa" w:w="230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Window</w:t>
            </w:r>
          </w:p>
        </w:tc>
        <w:tc>
          <w:tcPr>
            <w:tcW w:type="dxa" w:w="734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Launch day → the end of the launch month.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 The final, once-ever closing — the minting code is disabled at close and the special is never repeated, at any price, in any promotion.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Advantage</w:t>
            </w:r>
          </w:p>
        </w:tc>
        <w:tc>
          <w:tcPr>
            <w:tcW w:type="dxa" w:w="734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20% bonus Tuppence on any paid plan, every month, for life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 (Business: 72 instead of 60). On the free tier the standard free allocation applies — no bonus; the badge waits and re-applies on any future paid plan.</w:t>
            </w:r>
          </w:p>
        </w:tc>
      </w:tr>
      <w:tr>
        <w:tc>
          <w:tcPr>
            <w:tcW w:type="dxa" w:w="230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Distribution</w:t>
            </w:r>
          </w:p>
        </w:tc>
        <w:tc>
          <w:tcPr>
            <w:tcW w:type="dxa" w:w="734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Unique, database-controlled numbers (`TSL-XXXX-XXXX-CCCC`, HMAC-tagged). Individual email → one number, one person, one ID. Agency email → one agency number;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each registered agent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 redeems it once against their own ID.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Identity</w:t>
            </w:r>
          </w:p>
        </w:tc>
        <w:tc>
          <w:tcPr>
            <w:tcW w:type="dxa" w:w="734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Bound to the holder's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verified identity as a salted hash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 (the KYC flow verifies the real ID; the raw number is never stored in the programme tables). One human, one badge, forever — surviving tier changes, pauses and returns.</w:t>
            </w:r>
          </w:p>
        </w:tc>
      </w:tr>
      <w:tr>
        <w:tc>
          <w:tcPr>
            <w:tcW w:type="dxa" w:w="230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Tiers (canon)</w:t>
            </w:r>
          </w:p>
        </w:tc>
        <w:tc>
          <w:tcPr>
            <w:tcW w:type="dxa" w:w="734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$0 · $12 · $20 · $40 · $100 per month.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 The former $0/$5/$15 structure is retired and must appear nowhere.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AI model (canon)</w:t>
            </w:r>
          </w:p>
        </w:tc>
        <w:tc>
          <w:tcPr>
            <w:tcW w:type="dxa" w:w="734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“AI uses” no longer exist.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 In-app AI guidance is free; advanced AI features are Tuppence-priced per use. All exchange-rate / sessions-per-Tuppence mechanics are retired.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 · The mark — the Ruby Spark</w:t>
      </w:r>
    </w:p>
    <w:p>
      <w:pPr>
        <w:spacing w:after="120" w:before="0" w:line="27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A four-point star, outer </w:t>
      </w:r>
      <w:r>
        <w:rPr>
          <w:rFonts w:ascii="Calibri" w:cs="Calibri" w:eastAsia="Calibri" w:hAnsi="Calibri"/>
          <w:b/>
          <w:bCs/>
          <w:i w:val="false"/>
          <w:iCs w:val="false"/>
          <w:color w:val="1A2433"/>
          <w:sz w:val="21"/>
          <w:szCs w:val="21"/>
        </w:rPr>
        <w:t xml:space="preserve">#B3362E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, inner </w:t>
      </w:r>
      <w:r>
        <w:rPr>
          <w:rFonts w:ascii="Calibri" w:cs="Calibri" w:eastAsia="Calibri" w:hAnsi="Calibri"/>
          <w:b/>
          <w:bCs/>
          <w:i w:val="false"/>
          <w:iCs w:val="false"/>
          <w:color w:val="1A2433"/>
          <w:sz w:val="21"/>
          <w:szCs w:val="21"/>
        </w:rPr>
        <w:t xml:space="preserve">#F59A93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, rendered at 16px (asset: `static/founders_spark.svg`). </w:t>
      </w:r>
      <w:r>
        <w:rPr>
          <w:rFonts w:ascii="Calibri" w:cs="Calibri" w:eastAsia="Calibri" w:hAnsi="Calibri"/>
          <w:b/>
          <w:bCs/>
          <w:i w:val="false"/>
          <w:iCs w:val="false"/>
          <w:color w:val="1A2433"/>
          <w:sz w:val="21"/>
          <w:szCs w:val="21"/>
        </w:rPr>
        <w:t xml:space="preserve">Red is deliberately the only colour no trust tier owns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 (gold = Highly Trusted, green = Trusted, blue = Established), so the spark can never be mistaken for a trust grade — on the entire platform it means exactly one thing: this person was here at the founding.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Sits beside the trust chip on every listing card the holder owns, on the listing detail, and on the seller profile.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Tapping it shows a single line: *“Founders Badge · minted at launch 2026 — never minted again.”* </w:t>
      </w:r>
      <w:r>
        <w:rPr>
          <w:rFonts w:ascii="Calibri" w:cs="Calibri" w:eastAsia="Calibri" w:hAnsi="Calibri"/>
          <w:b/>
          <w:bCs/>
          <w:i w:val="false"/>
          <w:iCs w:val="false"/>
          <w:color w:val="1A2433"/>
          <w:sz w:val="21"/>
          <w:szCs w:val="21"/>
        </w:rPr>
        <w:t xml:space="preserve">No perks are listed anywhere in the 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 — the cohort is closed, so a perks UI would be permanent clutter for everyone who can never join.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Benefits run silently server-side off the ID-hash; the holder's only private trace is one wallet-history line (e.g. “Founders bonus +12T”), visible to them alone.</w:t>
      </w:r>
    </w:p>
    <w:p>
      <w:pPr>
        <w:spacing w:after="60"/>
      </w:pPr>
    </w:p>
    <w:p>
      <w:pPr>
        <w:pStyle w:val="Heading1"/>
      </w:pPr>
      <w:r>
        <w:t xml:space="preserve">3 · Supersessions &amp; retirements</w:t>
      </w:r>
    </w:p>
    <w:tbl>
      <w:tblPr>
        <w:tblW w:type="dxa" w:w="9640"/>
        <w:tblBorders>
          <w:top w:val="single" w:color="D7DEEA" w:sz="1"/>
          <w:left w:val="single" w:color="D7DEEA" w:sz="1"/>
          <w:bottom w:val="single" w:color="D7DEEA" w:sz="1"/>
          <w:right w:val="single" w:color="D7DEEA" w:sz="1"/>
          <w:insideH w:val="single" w:color="auto" w:sz="4"/>
          <w:insideV w:val="single" w:color="auto" w:sz="4"/>
        </w:tblBorders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shd w:fill="1E3A5F" w:color="auto" w:val="clear"/>
            <w:tcMar>
              <w:top w:type="dxa" w:w="85"/>
              <w:left w:type="dxa" w:w="140"/>
              <w:bottom w:type="dxa" w:w="85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7340"/>
            <w:shd w:fill="1E3A5F" w:color="auto" w:val="clear"/>
            <w:tcMar>
              <w:top w:type="dxa" w:w="85"/>
              <w:left w:type="dxa" w:w="140"/>
              <w:bottom w:type="dxa" w:w="85"/>
              <w:right w:type="dxa" w:w="14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changes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WhitePaper v2 §9.4</w:t>
            </w:r>
          </w:p>
        </w:tc>
        <w:tc>
          <w:tcPr>
            <w:tcW w:type="dxa" w:w="734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AI-Guidance exchange-rate advantage (10-per-Tuppence vs 8)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superseded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 by the 20% Tuppence bonus above (the AI-uses model itself is retired).</w:t>
            </w:r>
          </w:p>
        </w:tc>
      </w:tr>
      <w:tr>
        <w:tc>
          <w:tcPr>
            <w:tcW w:type="dxa" w:w="230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WhitePaper v2 §9</w:t>
            </w:r>
          </w:p>
        </w:tc>
        <w:tc>
          <w:tcPr>
            <w:tcW w:type="dxa" w:w="734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$15 International qualifying tier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$40 Business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. Launch-day-only minting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end of the launch month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. Enforcement architecture unchanged and reaffirmed.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Codex v4.2 item A7</w:t>
            </w:r>
          </w:p>
        </w:tc>
        <w:tc>
          <w:tcPr>
            <w:tcW w:type="dxa" w:w="734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Preliminary Free/$5/$15 buyer tiers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superseded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 by $0/$12/$20/$40/$100 (already marked in the Codex Evolution Audit).</w:t>
            </w:r>
          </w:p>
        </w:tc>
      </w:tr>
      <w:tr>
        <w:tc>
          <w:tcPr>
            <w:tcW w:type="dxa" w:w="230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Outreach canon</w:t>
            </w:r>
          </w:p>
        </w:tc>
        <w:tc>
          <w:tcPr>
            <w:tcW w:type="dxa" w:w="7340"/>
            <w:shd w:fill="F4F6FA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The former “Founding agency/seller benefit” (featured-first + free listing marketing)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replaced by the launch special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, which binds to people via their IDs, not to agencies. (Claim 6's first-60 cohort placement mechanic in the IP record is unaffected by this marketing change unless separately revised.)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2433"/>
                <w:sz w:val="18"/>
                <w:szCs w:val="18"/>
              </w:rPr>
              <w:t xml:space="preserve">EULA v1.5 → v1.6 (for counsel)</w:t>
            </w:r>
          </w:p>
        </w:tc>
        <w:tc>
          <w:tcPr>
            <w:tcW w:type="dxa" w:w="7340"/>
            <w:shd w:fill="FFFFFF" w:color="auto" w:val="clear"/>
            <w:tcMar>
              <w:top w:type="dxa" w:w="85"/>
              <w:left w:type="dxa" w:w="140"/>
              <w:bottom w:type="dxa" w:w="85"/>
              <w:right w:type="dxa" w:w="140"/>
            </w:tcMar>
          </w:tcPr>
          <w:p>
            <w:pPr>
              <w:spacing w:line="26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18"/>
                <w:szCs w:val="18"/>
              </w:rPr>
              <w:t xml:space="preserve">Add: the special's terms as above; the ID-hash processing basis (POPIA — verified ID hashed and salted, raw ID never stored in programme tables); the no-refund consistency note (the badge is an earned credential and the bonus an allocation uplift — never money, never refundable, never transferable); and the once-ever representation (the minting window closes permanently).</w:t>
            </w:r>
          </w:p>
        </w:tc>
      </w:tr>
    </w:tbl>
    <w:p>
      <w:pPr>
        <w:spacing w:after="60"/>
      </w:pPr>
    </w:p>
    <w:tbl>
      <w:tblPr>
        <w:tblW w:type="dxa" w:w="9640"/>
        <w:tblBorders>
          <w:top w:val="single" w:color="B3362E" w:sz="4"/>
          <w:left w:val="single" w:color="B3362E" w:sz="4"/>
          <w:bottom w:val="single" w:color="B3362E" w:sz="4"/>
          <w:right w:val="single" w:color="B3362E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shd w:fill="FBECEA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3362E"/>
                <w:sz w:val="21"/>
                <w:szCs w:val="21"/>
              </w:rPr>
              <w:t xml:space="preserve">The significance, in one paragraph (for every document that tells the story)</w:t>
            </w:r>
          </w:p>
          <w:p>
            <w:pPr>
              <w:spacing w:after="0" w:line="26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2433"/>
                <w:sz w:val="21"/>
                <w:szCs w:val="21"/>
              </w:rPr>
              <w:t xml:space="preserve">The Founders Badge is the only artefact TrustSquare will ever mint exactly once. It cannot be bought after the window closes, cannot be transferred, cannot be re-issued, and confers its advantage for the holder's lifetime on the platform. It is not a discount voucher; it is a historical credential — proof of having been there when the marketplace began.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 · Implementation references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Issuing side (built, tested): `CityLauncher/emailer/launch_codes.py` — the closed number registry; env-gated email block live in all 14 outreach templates, each showing the ruby spark and the significance line.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Mark asset: `MarketSquare/static/founders_spark.svg`. Design provenance: `FOUNDERS_BADGE_SAMPLES.html` + `FOUNDERS_BADGE_SPARK_COLOURS.html`.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2433"/>
          <w:sz w:val="21"/>
          <w:szCs w:val="21"/>
        </w:rPr>
        <w:t xml:space="preserve">Redemption build (next): validate number → bind ID-hash → mint badge → 1.2× allocation hook. Open input: monthly Tuppence allocations for the $12 / $20 / $100 tiers (Business = 60 locked).</w:t>
      </w:r>
    </w:p>
    <w:p>
      <w:pPr>
        <w:spacing w:after="100"/>
      </w:pPr>
    </w:p>
    <w:p>
      <w:pPr>
        <w:spacing w:after="120" w:before="0" w:line="274"/>
      </w:pPr>
      <w:r>
        <w:rPr>
          <w:rFonts w:ascii="Calibri" w:cs="Calibri" w:eastAsia="Calibri" w:hAnsi="Calibri"/>
          <w:b w:val="false"/>
          <w:bCs w:val="false"/>
          <w:i/>
          <w:iCs/>
          <w:color w:val="5B6478"/>
          <w:sz w:val="19"/>
          <w:szCs w:val="19"/>
        </w:rPr>
        <w:t xml:space="preserve">This addendum is canon from 6 June 2026. Each named document absorbs it at its next version; until then, where any older text conflicts with this addendum, this addendum prevails.</w:t>
      </w:r>
    </w:p>
    <w:sectPr>
      <w:footerReference w:type="default" r:id="rId7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6478"/>
        <w:sz w:val="16"/>
        <w:szCs w:val="16"/>
      </w:rPr>
      <w:t xml:space="preserve">TrustSquare — Canon Addendum №1 (Founders Badge &amp; Launch Special, 6 Jun 2026)   ·   page </w:t>
    </w:r>
    <w:r>
      <w:rPr>
        <w:rFonts w:ascii="Calibri" w:cs="Calibri" w:eastAsia="Calibri" w:hAnsi="Calibri"/>
        <w:color w:val="5B64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  <w:rPr>
        <w:color w:val="B886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E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2026-06-06T09:16:19.899Z</dcterms:created>
  <dcterms:modified xsi:type="dcterms:W3CDTF">2026-06-06T09:16:19.899Z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