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3864"/>
          <w:sz w:val="48"/>
        </w:rPr>
        <w:t>Draft — Email to Patent Attorney</w:t>
      </w:r>
    </w:p>
    <w:p>
      <w:pPr>
        <w:pBdr>
          <w:bottom w:val="single" w:sz="24" w:space="1" w:color="1F3864"/>
        </w:pBdr>
      </w:pPr>
    </w:p>
    <w:p>
      <w:pPr>
        <w:spacing w:after="160" w:line="312" w:lineRule="auto"/>
      </w:pPr>
      <w:r>
        <w:rPr>
          <w:rFonts w:ascii="Calibri" w:hAnsi="Calibri"/>
          <w:i/>
          <w:color w:val="595959"/>
          <w:sz w:val="22"/>
        </w:rPr>
        <w:t>Ready to send. Attach PATENT_PENDING_2026-06-30.md or paste the official details from it.</w:t>
      </w:r>
    </w:p>
    <w:p>
      <w:pPr>
        <w:spacing w:before="280" w:after="120"/>
      </w:pPr>
      <w:r>
        <w:rPr>
          <w:rFonts w:ascii="Calibri" w:hAnsi="Calibri"/>
          <w:b/>
          <w:color w:val="2F5496"/>
          <w:sz w:val="32"/>
        </w:rPr>
        <w:t>Subject: Provisional 2026/06760 — new post-filing subject matter, disclosure question</w:t>
      </w:r>
    </w:p>
    <w:p>
      <w:pPr>
        <w:spacing w:after="160" w:line="312" w:lineRule="auto"/>
      </w:pPr>
      <w:r>
        <w:rPr>
          <w:rFonts w:ascii="Calibri" w:hAnsi="Calibri"/>
          <w:i w:val="0"/>
          <w:color w:val="262626"/>
          <w:sz w:val="22"/>
        </w:rPr>
        <w:t>Dear [Attorney],</w:t>
      </w:r>
    </w:p>
    <w:p>
      <w:pPr>
        <w:spacing w:after="160" w:line="312" w:lineRule="auto"/>
      </w:pPr>
      <w:r>
        <w:rPr>
          <w:rFonts w:ascii="Calibri" w:hAnsi="Calibri"/>
          <w:i w:val="0"/>
          <w:color w:val="262626"/>
          <w:sz w:val="22"/>
        </w:rPr>
        <w:t>I filed provisional patent application 2026/06760 on 30 June 2026 (self-filed, Section 30(1)) for my marketplace platform TrustSquare, and published the annexed whitepaper as a defensive disclosure on 2 July 2026 (Wayback-archived). The complete specification is due by approximately 30 June 2027.</w:t>
      </w:r>
    </w:p>
    <w:p>
      <w:pPr>
        <w:spacing w:after="160" w:line="312" w:lineRule="auto"/>
      </w:pPr>
      <w:r>
        <w:rPr>
          <w:rFonts w:ascii="Calibri" w:hAnsi="Calibri"/>
          <w:i w:val="0"/>
          <w:color w:val="262626"/>
          <w:sz w:val="22"/>
        </w:rPr>
        <w:t>Since filing, I have built and publicly launched a new feature family — professional agents as a service — that contains two mechanisms not described in the filed specification:</w:t>
      </w:r>
    </w:p>
    <w:p>
      <w:pPr>
        <w:spacing w:after="160" w:line="312" w:lineRule="auto"/>
      </w:pPr>
      <w:r>
        <w:rPr>
          <w:rFonts w:ascii="Calibri" w:hAnsi="Calibri"/>
          <w:i w:val="0"/>
          <w:color w:val="262626"/>
          <w:sz w:val="22"/>
        </w:rPr>
        <w:t>1. A reverse introduction: in the filed description, the requesting party commits a value-unit hold at request time. In the new mechanism, a private seller sends a lead to a professional agent at no cost, and the ACCEPTING party (the agent) pays one value unit at acceptance time. The payer and the commitment moment are both inverted relative to the filed claims (claim family C10-C13).</w:t>
      </w:r>
    </w:p>
    <w:p>
      <w:pPr>
        <w:spacing w:after="160" w:line="312" w:lineRule="auto"/>
      </w:pPr>
      <w:r>
        <w:rPr>
          <w:rFonts w:ascii="Calibri" w:hAnsi="Calibri"/>
          <w:i w:val="0"/>
          <w:color w:val="262626"/>
          <w:sz w:val="22"/>
        </w:rPr>
        <w:t>2. A composite ranking: agents are ordered by a published formula — 50% evidence-backed trust score plus 50% listing-quality score — with both components and the formula visible to all parties.</w:t>
      </w:r>
    </w:p>
    <w:p>
      <w:pPr>
        <w:spacing w:after="160" w:line="312" w:lineRule="auto"/>
      </w:pPr>
      <w:r>
        <w:rPr>
          <w:rFonts w:ascii="Calibri" w:hAnsi="Calibri"/>
          <w:i w:val="0"/>
          <w:color w:val="262626"/>
          <w:sz w:val="22"/>
        </w:rPr>
        <w:t>Both mechanisms have been publicly visible on my website since 18 July 2026 (https://trustsquare.co/static/agents-as-a-service.html) and in the live application. My questions: (a) can either mechanism still be protected in the complete specification given my own disclosure, or via a new provisional filed now; (b) does this disclosure create any risk for the existing application; and (c) should I pause further marketing of these mechanisms (an email campaign is imminent) until this is settled?</w:t>
      </w:r>
    </w:p>
    <w:p>
      <w:pPr>
        <w:spacing w:after="160" w:line="312" w:lineRule="auto"/>
      </w:pPr>
      <w:r>
        <w:rPr>
          <w:rFonts w:ascii="Calibri" w:hAnsi="Calibri"/>
          <w:i w:val="0"/>
          <w:color w:val="262626"/>
          <w:sz w:val="22"/>
        </w:rPr>
        <w:t>I would appreciate a short call this week. The full filing record, hashes and archive links are in the attached summary.</w:t>
      </w:r>
    </w:p>
    <w:p>
      <w:pPr>
        <w:spacing w:after="160" w:line="312" w:lineRule="auto"/>
      </w:pPr>
      <w:r>
        <w:rPr>
          <w:rFonts w:ascii="Calibri" w:hAnsi="Calibri"/>
          <w:i w:val="0"/>
          <w:color w:val="262626"/>
          <w:sz w:val="22"/>
        </w:rPr>
        <w:t>Regards, David Conradie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