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TrustSquare — CIPC Filing Plan &amp; Schedule</w:t>
      </w:r>
    </w:p>
    <w:p>
      <w:r>
        <w:rPr>
          <w:b w:val="0"/>
          <w:i/>
          <w:color w:val="606060"/>
          <w:sz w:val="19"/>
        </w:rPr>
        <w:t>Patent (provisional) + Trademark + Whitepaper publication process · Prepared 11 June 2026 · Trustsquare (Pty) Ltd · Reg 2026/340128/07</w:t>
      </w:r>
    </w:p>
    <w:p>
      <w:r>
        <w:rPr>
          <w:b/>
          <w:i w:val="0"/>
          <w:color w:val="C02828"/>
          <w:sz w:val="20"/>
        </w:rPr>
        <w:t>IMPORTANT: I am not a lawyer and this is not legal advice. The plan below is built on your own counsel-grade documents (IP Brief v5/v6, Pre-Filing Memoranda, Strategy v4) and verified CIPC facts, but a registered SA patent attorney must review the provisional before filing and must handle the complete application — that is a statutory requirement, not a preference.</w:t>
      </w:r>
    </w:p>
    <w:p>
      <w:pPr>
        <w:pStyle w:val="Heading1"/>
      </w:pPr>
      <w:r>
        <w:t>1 · What CIPC requires (verified June 2026)</w:t>
      </w:r>
    </w:p>
    <w:p>
      <w:pPr>
        <w:pStyle w:val="ListBullet"/>
      </w:pPr>
      <w:r>
        <w:t>South Africa is a NON-EXAMINING (depository) registry: patents are registered without substantive examination. Registration is near-automatic — and therefore does NOT validate the claims. Validity is only tested if challenged. Your own June 2026 supplement states this correctly.</w:t>
      </w:r>
    </w:p>
    <w:p>
      <w:pPr>
        <w:pStyle w:val="ListBullet"/>
      </w:pPr>
      <w:r>
        <w:t>A PROVISIONAL application may be self-filed by the applicant via iponline.cipc.co.za (forms P1 + P6; official fee ±R60). It secures a 12-month priority date. Attorney-assisted provisional drafting typically runs R12,000–R15,000 — largely unnecessary here because your specification material already exists at counsel grade.</w:t>
      </w:r>
    </w:p>
    <w:p>
      <w:pPr>
        <w:pStyle w:val="ListBullet"/>
      </w:pPr>
      <w:r>
        <w:t>The COMPLETE application (within 12 months) MUST be prosecuted by a registered SA patent attorney (est. R25,000–R30,000+). The PCT international route decision also falls in that window.</w:t>
      </w:r>
    </w:p>
    <w:p>
      <w:pPr>
        <w:pStyle w:val="ListBullet"/>
      </w:pPr>
      <w:r>
        <w:t>Section 25(2) excludes "a program for a computer" and business methods AS SUCH. Your two-anchor strategy (Claim 7 combination + Claim 2 bundle, technical-effect framing, C13 atomicity/idempotency) is precisely the correct response. Honest position, per your own memos: registrable now, defensible only as framed, never guaranteed.</w:t>
      </w:r>
    </w:p>
    <w:p>
      <w:pPr>
        <w:pStyle w:val="ListBullet"/>
      </w:pPr>
      <w:r>
        <w:t>Trademark: TM1 form, R590 per class, one class per application. Planned: TRUSTSQUARE in Classes 35, 36, 42 (= R1,770). Recommend adding TUPPENCE as a word mark (the currency brand carries independent goodwill) — decision for you + counsel.</w:t>
      </w:r>
    </w:p>
    <w:p>
      <w:pPr>
        <w:pStyle w:val="Heading1"/>
      </w:pPr>
      <w:r>
        <w:t>2 · What you already have (inventory — strong)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Version / state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IP Brief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v5 CONTROLLING · v6 DRAFT (hold canon, C10–C13) staged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Land v6 — blocker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Patent Strategy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v4 + C10–C13 Addendum DRAFT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Land addendum with v6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Pre-Filing Consultation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12 May memo + Erratum + June 2026 Supplement (prior art, Alice/COMVIK, CPA s63)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Current — brief counsel with all three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Whitepaper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v3.4 (June 2026)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STALE — see §3, must become v3.5 before filing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Claim Visuals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v2 HTML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Missing C10–C13 hold-state-machine panel (AD-11)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Claims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13 (two anchors C7+C2; C10–C13 hold ledger; C3 held pending Pingsby)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Freeze set this week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Trustsquare (Pty) Ltd registered 29 Apr 2026, bank account live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Ready</w:t>
            </w:r>
          </w:p>
        </w:tc>
      </w:tr>
    </w:tbl>
    <w:p>
      <w:pPr>
        <w:pStyle w:val="Heading1"/>
      </w:pPr>
      <w:r>
        <w:t>3 · Gaps and improvements (do before filing)</w:t>
      </w:r>
    </w:p>
    <w:p>
      <w:r>
        <w:rPr>
          <w:b/>
          <w:i w:val="0"/>
          <w:color w:val="C02828"/>
          <w:sz w:val="22"/>
        </w:rPr>
        <w:t>3.1 · CRITICAL — the whitepaper no longer describes the app you are filing on.</w:t>
      </w:r>
    </w:p>
    <w:p>
      <w:r>
        <w:rPr>
          <w:b w:val="0"/>
          <w:i w:val="0"/>
          <w:sz w:val="21"/>
        </w:rPr>
        <w:t>This week’s Simpler Model build changed the platform materially. The whitepaper is your prior-art disclosure and the spine of the provisional specification — it must describe the system as built. Required v3.4 → v3.5 updates:</w:t>
      </w:r>
    </w:p>
    <w:p>
      <w:pPr>
        <w:pStyle w:val="ListBullet"/>
      </w:pPr>
      <w:r>
        <w:t>§3.5 Subscription: five tiers $0–$100 → THREE tiers Free/$5/$20 (2/10/30 slots) + FREE verified agencies (no toll on supply; trust-graduated allowance). The slot-enforcement claim element (server-side, publish-time, HTTP 402) is unchanged — say so explicitly.</w:t>
      </w:r>
    </w:p>
    <w:p>
      <w:pPr>
        <w:pStyle w:val="ListBullet"/>
      </w:pPr>
      <w:r>
        <w:t>§3.6 AI services: "ten services, 2T–10T" → ten functions, ladder capped Free/2T/3T/5T, plus the NEW Level-1 free glimpse / Level-2 paid deep-dive split on every function, and the tenth function (Retirement Relocation Planner). The glimpse split strengthens the metering narrative (free tier costs $0 by construction; paid tier hold-gated).</w:t>
      </w:r>
    </w:p>
    <w:p>
      <w:pPr>
        <w:pStyle w:val="ListBullet"/>
      </w:pPr>
      <w:r>
        <w:t>§3.2/§4: Tuppence burn model → HOLD model everywhere (commit-on-request, burn-on-delivery, release-on-decline/failure) per IP Brief v6 — including the CPA s63 improvement this gives you.</w:t>
      </w:r>
    </w:p>
    <w:p>
      <w:pPr>
        <w:pStyle w:val="ListBullet"/>
      </w:pPr>
      <w:r>
        <w:t>NEW disclosure material (add as combination elements, not new independent claims): one-photo-one-sentence listing draft ($0-first template + gated vision), guided capture with category shot-lists + ONE batched vision call for captions/description, and the adaptive any-country research rule. These are disclosure value for the C7 combination and defensive prior-art for competitors.</w:t>
      </w:r>
    </w:p>
    <w:p>
      <w:pPr>
        <w:pStyle w:val="ListBullet"/>
      </w:pPr>
      <w:r>
        <w:t>§5 revenue figures → Revenue Bridge model (~86% transaction+usage layer; subscriptions ~14%).</w:t>
      </w:r>
    </w:p>
    <w:p>
      <w:r>
        <w:rPr>
          <w:b/>
          <w:i w:val="0"/>
          <w:color w:val="B46A00"/>
          <w:sz w:val="22"/>
        </w:rPr>
        <w:t>3.2 · Land the staged drafts.</w:t>
      </w:r>
    </w:p>
    <w:p>
      <w:pPr>
        <w:pStyle w:val="ListBullet"/>
      </w:pPr>
      <w:r>
        <w:t>IP Brief v6: answer AD-14 (the "(reverse-auction = lead)" ambiguity on C10–C13) and approve the Claim 2 Element 2A redraft wording with counsel.</w:t>
      </w:r>
    </w:p>
    <w:p>
      <w:pPr>
        <w:pStyle w:val="ListBullet"/>
      </w:pPr>
      <w:r>
        <w:t>Strategy v4 C10–C13 Addendum: land with v6 (one decision, same sitting).</w:t>
      </w:r>
    </w:p>
    <w:p>
      <w:pPr>
        <w:pStyle w:val="ListBullet"/>
      </w:pPr>
      <w:r>
        <w:t>Claim Visuals: add the C10–C13 hold-state-machine panel (AD-11) — I can generate this from the live ledger code.</w:t>
      </w:r>
    </w:p>
    <w:p>
      <w:r>
        <w:rPr>
          <w:b/>
          <w:i w:val="0"/>
          <w:color w:val="B46A00"/>
          <w:sz w:val="22"/>
        </w:rPr>
        <w:t>3.3 · Counsel items (from your own checklist — unchanged and confirmed).</w:t>
      </w:r>
    </w:p>
    <w:p>
      <w:pPr>
        <w:pStyle w:val="ListBullet"/>
      </w:pPr>
      <w:r>
        <w:t>Pingsby (US20120005033A1) read on C3 before filing — highest §102 risk in the portfolio.</w:t>
      </w:r>
    </w:p>
    <w:p>
      <w:pPr>
        <w:pStyle w:val="ListBullet"/>
      </w:pPr>
      <w:r>
        <w:t>Commission the paid PatBase/Derwent novelty search; confirm/replace US 2014/0040028; add the C10–C13 watchlist (card-auth holds, app-store entitlement metering, API-credit holds).</w:t>
      </w:r>
    </w:p>
    <w:p>
      <w:pPr>
        <w:pStyle w:val="ListBullet"/>
      </w:pPr>
      <w:r>
        <w:t>CPA s63 (LAUNCH blocker, not filing blocker): float dormancy ≥36 months + burn-as-service-rendered disclosure — consumer-law sign-off before paid Tuppence goes live. The hold model already improved the decline limb.</w:t>
      </w:r>
    </w:p>
    <w:p>
      <w:r>
        <w:rPr>
          <w:b/>
          <w:i w:val="0"/>
          <w:color w:val="C02828"/>
          <w:sz w:val="22"/>
        </w:rPr>
        <w:t>3.4 · Honest risk flags.</w:t>
      </w:r>
    </w:p>
    <w:p>
      <w:pPr>
        <w:pStyle w:val="ListBullet"/>
      </w:pPr>
      <w:r>
        <w:t>The app is LIVE at trustsquare.co with public listings. SA requires absolute novelty: UI-visible features are arguably already disclosed by use. Internal mechanisms (hold ledger atomicity, existence gate, guardrails) are NOT visible from use — these are exactly your strongest claims, so the position is recoverable, but FILE NOW and disclose the live-site history to counsel; do not let the gap grow.</w:t>
      </w:r>
    </w:p>
    <w:p>
      <w:pPr>
        <w:pStyle w:val="ListBullet"/>
      </w:pPr>
      <w:r>
        <w:t>A SA patent will REGISTER regardless (non-examining); its later enforceability rests on the technical framing. Budget emotionally and financially for the claims being narrowed at PCT/national phase.</w:t>
      </w:r>
    </w:p>
    <w:p>
      <w:pPr>
        <w:pStyle w:val="Heading1"/>
      </w:pPr>
      <w:r>
        <w:t>4 · Seven-day filing schedule (patent + trademark)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Cost (est.)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Day 1 (Fri 12 Jun)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Book counsel consult (Adams &amp; Adams / Spoor &amp; Fisher / Bowmans — your shortlist). Send brief pack: IP Brief v5 + v6 draft, all three pre-filing memos, Whitepaper v3.4 + the v3.5 delta note. David answers AD-14. Claude drafts Whitepaper v3.5 + IP Brief platform-overview corrections.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David + Claude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Day 2 (Sat)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David reviews Whitepaper v3.5 + landed v6. Claude generates the C10–C13 hold-state-machine visual panel from the live ledger code. Freeze the claim set (13 claims, C3 conditional).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David + Claude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Day 3 (Mon)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Counsel consultation: two-anchor + C10–C13 confirmation, Element 2A wording, Pingsby read instruction, novelty search commissioned, live-site disclosure discussed.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David + counsel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R5,000 consult + search R8–15k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Day 4 (Tue)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Assemble the provisional specification: Whitepaper v3.5 (description) + claim schedule (IP Brief v6) + Claim Visuals v3 (drawings). Counsel red-pen pass.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Claude assembles · counsel reviews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 consult scope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Day 5 (Wed)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FILE SA PROVISIONAL via iponline.cipc.co.za (P1+P6). Priority date secured. Same sitting: file TM1 × TRUSTSQUARE Classes 35/36/42 (+ TUPPENCE if approved).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David (self-file) or counsel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±R60 + R1,770 (+R590)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Day 6 (Thu)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Whitepaper v3.5: SHA-256 hash → OpenTimestamps; upload to ip.com (defensive publication); archive.org snapshot of trustsquare.co. Log everything in CHANGE_REGISTER.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Claude prepares · David executes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ip.com ±$155–$395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Day 7 (Fri 19 Jun)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Verify CIPC receipts + application numbers; file copies into Patents/; ONLY NOW is public whitepaper publication and the launch campaign unblocked (your own checklist rule).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David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R0</w:t>
            </w:r>
          </w:p>
        </w:tc>
      </w:tr>
    </w:tbl>
    <w:p>
      <w:pPr>
        <w:pStyle w:val="Heading1"/>
      </w:pPr>
      <w:r>
        <w:t>5 · Whitepaper process track</w:t>
      </w:r>
    </w:p>
    <w:p>
      <w:pPr>
        <w:pStyle w:val="ListBullet"/>
      </w:pPr>
      <w:r>
        <w:t>Before filing: v3.5 content update (§3.1 above) — the whitepaper IS the provisional’s description; accuracy is filing-critical, not cosmetic.</w:t>
      </w:r>
    </w:p>
    <w:p>
      <w:pPr>
        <w:pStyle w:val="ListBullet"/>
      </w:pPr>
      <w:r>
        <w:t>At filing (Day 5–6): hash → OpenTimestamps → ip.com → archive.org. This creates independent, dated, defensive prior art in your name: even where claims fail later, competitors cannot patent these mechanisms against you.</w:t>
      </w:r>
    </w:p>
    <w:p>
      <w:pPr>
        <w:pStyle w:val="ListBullet"/>
      </w:pPr>
      <w:r>
        <w:t>After filing: publish publicly (site, investors, agencies) — the launch-campaign gate opens. Going forward: every canon change (CCP) that touches a claimed mechanism triggers a whitepaper version bump + re-hash + re-stamp; I will add this check to the nightly sweep so it cannot be forgotten.</w:t>
      </w:r>
    </w:p>
    <w:p>
      <w:pPr>
        <w:pStyle w:val="Heading1"/>
      </w:pPr>
      <w:r>
        <w:t>6 · 12-month roadmap after the provisional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When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Milestone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Weeks 2–8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Novelty search results → claim refinement with counsel; Pingsby decision on C3 (retain-with-technical-recitation or drop).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Months 2–4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CPA s63 product fixes in code + EULA (dormancy ≥36 months; burn-as-service disclosure) — consumer-law sign-off → paid Tuppence enabled.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Months 6–9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Update whitepaper to match shipped reality (international corridors, agency layer); re-stamp. Decide complete-vs-second-provisional consolidation with counsel.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Months 10–11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DECISION + FILE: SA complete (attorney, R25–30k+) and/or PCT (R60–120k budget) claiming the provisional’s priority. UK/AU/US national interest follows your expansion sequence.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Month 30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PCT national-phase entries (budget per country; align with the cities actually launched).</w:t>
            </w:r>
          </w:p>
        </w:tc>
      </w:tr>
    </w:tbl>
    <w:p>
      <w:pPr>
        <w:pStyle w:val="Heading1"/>
      </w:pPr>
      <w:r>
        <w:t>7 · Budget summary (estimates)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This week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12 months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Counsel consult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R5,000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 provisional (self-file, official fee)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±R60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Trademarks TM1 × 3 (+1 optional)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R1,770 (+R590)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Novelty search (PatBase/Derwent)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R8,000–R15,000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ip.com defensive publication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±R3,000–R7,500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 complete application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R25,000–R30,000+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PCT filing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R60,000–R120,000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±R18,000–R29,000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R85,000–R150,000+</w:t>
            </w:r>
          </w:p>
        </w:tc>
      </w:tr>
    </w:tbl>
    <w:p>
      <w:r>
        <w:rPr>
          <w:b w:val="0"/>
          <w:i/>
          <w:color w:val="606060"/>
          <w:sz w:val="18"/>
        </w:rPr>
        <w:t>Sources: CIPC iponline (forms/fees), Burger Huyser Attorneys + IdeaNav (2026 cost guides), Pocket IP / SNZ (TM1 R590/class), your own counsel memoranda for all legal positions. All third-party costs are estimates — counsel will quote precisely.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