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Counsel Briefing Email — DRAFT</w:t>
      </w:r>
    </w:p>
    <w:p>
      <w:r>
        <w:rPr>
          <w:i/>
          <w:color w:val="606060"/>
          <w:sz w:val="19"/>
        </w:rPr>
        <w:t>Send to one of: Adams &amp; Adams · Spoor &amp; Fisher · Bowmans (patent/software IP practice). Attach the brief pack listed in the email. Review before sending.</w:t>
      </w:r>
    </w:p>
    <w:p>
      <w:r>
        <w:rPr>
          <w:b/>
        </w:rPr>
        <w:t xml:space="preserve">To: </w:t>
      </w:r>
      <w:r>
        <w:t>[Patent attorney — software/platform IP practice]</w:t>
      </w:r>
    </w:p>
    <w:p>
      <w:r>
        <w:rPr>
          <w:b/>
        </w:rPr>
        <w:t xml:space="preserve">From: </w:t>
      </w:r>
      <w:r>
        <w:t>David Maurice Conradie · Director, Trustsquare (Pty) Ltd (Reg 2026/340128/07)</w:t>
      </w:r>
    </w:p>
    <w:p>
      <w:r>
        <w:rPr>
          <w:b/>
        </w:rPr>
        <w:t xml:space="preserve">Subject: </w:t>
      </w:r>
      <w:r>
        <w:t>Engagement request: SA provisional filing within 7 days — marketplace platform, prepared claim schedule (13 claims), pre-filing memoranda attached</w:t>
      </w:r>
    </w:p>
    <w:p>
      <w:r>
        <w:t>Dear [Name],</w:t>
      </w:r>
    </w:p>
    <w:p/>
    <w:p>
      <w:r>
        <w:t>I am the founder and director of Trustsquare (Pty) Ltd, operator of trustsquare.co — a live, mobile-first anonymous-introduction marketplace (Pretoria pilot, production backend). We intend to file a South African provisional patent application within the next seven days, followed by trademark applications (TRUSTSQUARE and TUPPENCE, Classes 35/36/42), and I would like to engage your firm for a pre-filing consultation and the red-pen review of our provisional specification.</w:t>
      </w:r>
    </w:p>
    <w:p/>
    <w:p>
      <w:r>
        <w:t>The preparatory work is unusually complete, and I want to be efficient with your time. Attached:</w:t>
      </w:r>
    </w:p>
    <w:p/>
    <w:p>
      <w:r>
        <w:t>1. IP Brief v5 (controlling claim language, per-claim validity re-ratings against named prior art) and IP Brief v6 DRAFT (canonicalises the Tuppence HOLD charging model; adds draft claims C10–C13 reciting the hold ledger).</w:t>
      </w:r>
    </w:p>
    <w:p>
      <w:r>
        <w:t>2. Pre-Filing Consultation Memorandum (12 May 2026), its Erratum, and the June 2026 Supplement (prior-art refresh; US §101/Alice and EPO COMVIK current-law review; CPA s63 exposure analysis).</w:t>
      </w:r>
    </w:p>
    <w:p>
      <w:r>
        <w:t>3. IP &amp; Patent Strategy v4 + C10–C13 Addendum DRAFT (filing sequence, two-anchor restructuring).</w:t>
      </w:r>
    </w:p>
    <w:p>
      <w:r>
        <w:t>4. Whitepaper v3.5 DRAFT — the technical disclosure document, updated this week to the current platform (three-tier subscriptions + free verified agencies; AI ladder capped Free/2T/3T/5T with a free Level-1 / paid Level-2 split; hold ledger; photo-first listing creation).</w:t>
      </w:r>
    </w:p>
    <w:p>
      <w:r>
        <w:t>5. Provisional Specification DRAFT (assembled from the above for your review — we do not regard it as filable until you have marked it up).</w:t>
      </w:r>
    </w:p>
    <w:p>
      <w:r>
        <w:t>6. Claim Visuals v2 (HTML; a hold-state-machine panel is being added).</w:t>
      </w:r>
    </w:p>
    <w:p/>
    <w:p>
      <w:r>
        <w:t>The decisions on which we specifically seek your guidance at the consultation:</w:t>
      </w:r>
    </w:p>
    <w:p/>
    <w:p>
      <w:r>
        <w:t>(a) Confirm the two-anchor restructuring: Claim 7 (integrated platform; inventive concept = one non-refundable buyer-paid currency gating both human introductions and external-AI invocations, policed by an existence gate and the hold ledger) and Claim 2 (the buyer-paid/fixed/pre-introduction/non-refundable/blind bundle) as the only independent claims; C1/C4/C5/C8/C9 dependent; C10–C13 folded under the C7 family.</w:t>
      </w:r>
    </w:p>
    <w:p>
      <w:r>
        <w:t>(b) Claim 2 Element 2A redraft under the hold model — in particular that the decline-release path cannot be read as restitution logic.</w:t>
      </w:r>
    </w:p>
    <w:p>
      <w:r>
        <w:t>(c) Claim 3: a clearance read of US20120005033A1 (Pingsby) — retain narrowed to an atomic, ordering-guaranteed disclosure protocol, or hold back.</w:t>
      </w:r>
    </w:p>
    <w:p>
      <w:r>
        <w:t>(d) Tier-agnostic recitation of the subscription slot-enforcement element (current language recites five tiers at legacy prices; the platform now runs three plus a free agency class — implementation detail must not limit). Relatedly, a ground-truth audit (11 Jun) aligned two further recitations to the implemented system: the trust score is an evidence-based signal-points architecture (not the fixed-weight composite of earlier drafts), and the existence-gate recitation is narrowed to value-metered AI invocations (the free $0-first listing assists are deliberately ceiling-gated instead, serving not-yet-registered sellers).</w:t>
      </w:r>
    </w:p>
    <w:p>
      <w:r>
        <w:t>(e) Commissioning of a paid PatBase/Derwent novelty search (incl. the C10–C13 watchlist: card-authorisation holds, app-store entitlement metering, API-credit hold systems), and confirmation/replacement of the unverifiable US 2014/0040028 reference.</w:t>
      </w:r>
    </w:p>
    <w:p>
      <w:r>
        <w:t>(f) One candid disclosure: the platform has been publicly accessible at trustsquare.co since [May] 2026 with live listings. The mechanisms at the heart of the claims (hold ledger atomicity, existence gate, server-side enforcement) are not observable from use, but we want your read on the absolute-novelty implications and the urgency this adds.</w:t>
      </w:r>
    </w:p>
    <w:p>
      <w:r>
        <w:t>(g) CPA s63: we have adopted the recommended cures (float dormancy ≥36 months; burn-as-service-rendered disclosure; strict cash non-refundability retained) as LAUNCH BLOCKERS — note candidly that the live EULA still carries the prior 24-month dormancy term and an internal inconsistency (§5.3 "no expiry (current state)" vs §6.3 "24 months"); both fixes are staged and will be landed with consumer-law sign-off before paid Tuppence purchases are enabled.</w:t>
      </w:r>
    </w:p>
    <w:p/>
    <w:p>
      <w:r>
        <w:t>We budget R5,000 for the initial consultation and have provisioned for the novelty search and, in the 10–12 month window, the complete application and PCT decision. Our intention is to self-file the provisional via iponline once your review of the specification is complete, unless you advise filing through the firm.</w:t>
      </w:r>
    </w:p>
    <w:p/>
    <w:p>
      <w:r>
        <w:t>Could you propose a consultation slot in the next three business days? Given the live-site exposure in (f), time matters to us.</w:t>
      </w:r>
    </w:p>
    <w:p/>
    <w:p>
      <w:r>
        <w:t>Kind regards,</w:t>
      </w:r>
    </w:p>
    <w:p>
      <w:r>
        <w:t>David Maurice Conradie</w:t>
      </w:r>
    </w:p>
    <w:p>
      <w:r>
        <w:t>Director, Trustsquare (Pty) Ltd · trustsquare.co · dmcontiki2@gmail.com</w:t>
      </w:r>
    </w:p>
    <w:p/>
    <w:p>
      <w:r>
        <w:t>PRIVILEGED &amp; CONFIDENTIAL — prospective attorney-client communication.</w:t>
      </w:r>
    </w:p>
    <w:p>
      <w:r>
        <w:rPr>
          <w:i/>
          <w:color w:val="606060"/>
          <w:sz w:val="17"/>
        </w:rPr>
        <w:t>Document version: v1.1 DRAFT · 11 June 2026 · v1.0 initial; v1.1 ground-truth audit additions (item (d) trust-score + existence-gate alignment note; item (g) EULA 24-month term + internal-inconsistency candour). Baseline: CHANGELOG Session 135h.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