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B2A4A"/>
          <w:sz w:val="80"/>
          <w:szCs w:val="80"/>
        </w:rPr>
        <w:t xml:space="preserve">TrustSquare</w:t>
      </w:r>
    </w:p>
    <w:p>
      <w:pPr>
        <w:spacing w:after="80" w:before="0"/>
        <w:jc w:val="center"/>
      </w:pPr>
      <w:r>
        <w:rPr>
          <w:b/>
          <w:bCs/>
          <w:color w:val="C9A84C"/>
          <w:sz w:val="32"/>
          <w:szCs w:val="32"/>
        </w:rPr>
        <w:t xml:space="preserve">Unified Participation Marketplace</w:t>
      </w:r>
    </w:p>
    <w:p>
      <w:pPr>
        <w:spacing w:after="80" w:before="0"/>
        <w:jc w:val="center"/>
      </w:pPr>
      <w:r>
        <w:rPr>
          <w:color w:val="888888"/>
          <w:sz w:val="22"/>
          <w:szCs w:val="22"/>
        </w:rPr>
        <w:t xml:space="preserve">Technical Whitepaper v3 — Provisional Patent Document</w:t>
      </w:r>
    </w:p>
    <w:p>
      <w:pPr>
        <w:spacing w:after="600" w:before="80"/>
        <w:jc w:val="center"/>
      </w:pPr>
      <w:r>
        <w:rPr>
          <w:i/>
          <w:iCs/>
          <w:color w:val="AAAAAA"/>
          <w:sz w:val="20"/>
          <w:szCs w:val="20"/>
        </w:rPr>
        <w:t xml:space="preserve">CONFIDENTIAL — Prior Art Disclosure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5F3EE" w:val="solid"/>
          </w:tcPr>
          <w:p>
            <w:r>
              <w:rPr>
                <w:b/>
                <w:bCs/>
                <w:color w:val="1B2A4A"/>
                <w:sz w:val="19"/>
                <w:szCs w:val="19"/>
              </w:rPr>
              <w:t xml:space="preserve">Author</w:t>
            </w:r>
          </w:p>
        </w:tc>
        <w:tc>
          <w:tcPr>
            <w:tcW w:type="pct" w:w="65%"/>
            <w:shd w:fill="F5F3EE" w:val="solid"/>
          </w:tcPr>
          <w:p>
            <w:r>
              <w:rPr>
                <w:color w:val="1B2A4A"/>
                <w:sz w:val="19"/>
                <w:szCs w:val="19"/>
              </w:rPr>
              <w:t xml:space="preserve">TrustSquare (Pty) Ltd</w:t>
            </w:r>
          </w:p>
        </w:tc>
      </w:tr>
      <w:tr>
        <w:tc>
          <w:tcPr>
            <w:tcW w:type="pct" w:w="35%"/>
            <w:shd w:fill="FFFFFF" w:val="solid"/>
          </w:tcPr>
          <w:p>
            <w:r>
              <w:rPr>
                <w:b/>
                <w:bCs/>
                <w:color w:val="1B2A4A"/>
                <w:sz w:val="19"/>
                <w:szCs w:val="19"/>
              </w:rPr>
              <w:t xml:space="preserve">Publication Date</w:t>
            </w:r>
          </w:p>
        </w:tc>
        <w:tc>
          <w:tcPr>
            <w:tcW w:type="pct" w:w="65%"/>
            <w:shd w:fill="FFFFFF" w:val="solid"/>
          </w:tcPr>
          <w:p>
            <w:r>
              <w:rPr>
                <w:color w:val="1B2A4A"/>
                <w:sz w:val="19"/>
                <w:szCs w:val="19"/>
              </w:rPr>
              <w:t xml:space="preserve">2026-04-25</w:t>
            </w:r>
          </w:p>
        </w:tc>
      </w:tr>
      <w:tr>
        <w:tc>
          <w:tcPr>
            <w:tcW w:type="pct" w:w="35%"/>
            <w:shd w:fill="F5F3EE" w:val="solid"/>
          </w:tcPr>
          <w:p>
            <w:r>
              <w:rPr>
                <w:b/>
                <w:bCs/>
                <w:color w:val="1B2A4A"/>
                <w:sz w:val="19"/>
                <w:szCs w:val="19"/>
              </w:rPr>
              <w:t xml:space="preserve">Version</w:t>
            </w:r>
          </w:p>
        </w:tc>
        <w:tc>
          <w:tcPr>
            <w:tcW w:type="pct" w:w="65%"/>
            <w:shd w:fill="F5F3EE" w:val="solid"/>
          </w:tcPr>
          <w:p>
            <w:r>
              <w:rPr>
                <w:color w:val="1B2A4A"/>
                <w:sz w:val="19"/>
                <w:szCs w:val="19"/>
              </w:rPr>
              <w:t xml:space="preserve">3.0</w:t>
            </w:r>
          </w:p>
        </w:tc>
      </w:tr>
      <w:tr>
        <w:tc>
          <w:tcPr>
            <w:tcW w:type="pct" w:w="35%"/>
            <w:shd w:fill="FFFFFF" w:val="solid"/>
          </w:tcPr>
          <w:p>
            <w:r>
              <w:rPr>
                <w:b/>
                <w:bCs/>
                <w:color w:val="1B2A4A"/>
                <w:sz w:val="19"/>
                <w:szCs w:val="19"/>
              </w:rPr>
              <w:t xml:space="preserve">Status</w:t>
            </w:r>
          </w:p>
        </w:tc>
        <w:tc>
          <w:tcPr>
            <w:tcW w:type="pct" w:w="65%"/>
            <w:shd w:fill="FFFFFF" w:val="solid"/>
          </w:tcPr>
          <w:p>
            <w:r>
              <w:rPr>
                <w:color w:val="1B2A4A"/>
                <w:sz w:val="19"/>
                <w:szCs w:val="19"/>
              </w:rPr>
              <w:t xml:space="preserve">Provisional Patent — CIPRO SA</w:t>
            </w:r>
          </w:p>
        </w:tc>
      </w:tr>
      <w:tr>
        <w:tc>
          <w:tcPr>
            <w:tcW w:type="pct" w:w="35%"/>
            <w:shd w:fill="F5F3EE" w:val="solid"/>
          </w:tcPr>
          <w:p>
            <w:r>
              <w:rPr>
                <w:b/>
                <w:bCs/>
                <w:color w:val="1B2A4A"/>
                <w:sz w:val="19"/>
                <w:szCs w:val="19"/>
              </w:rPr>
              <w:t xml:space="preserve">Timestamp Authority 1</w:t>
            </w:r>
          </w:p>
        </w:tc>
        <w:tc>
          <w:tcPr>
            <w:tcW w:type="pct" w:w="65%"/>
            <w:shd w:fill="F5F3EE" w:val="solid"/>
          </w:tcPr>
          <w:p>
            <w:r>
              <w:rPr>
                <w:color w:val="1B2A4A"/>
                <w:sz w:val="19"/>
                <w:szCs w:val="19"/>
              </w:rPr>
              <w:t xml:space="preserve">Internet Archive Wayback Machine (auto-crawl on launch)</w:t>
            </w:r>
          </w:p>
        </w:tc>
      </w:tr>
      <w:tr>
        <w:tc>
          <w:tcPr>
            <w:tcW w:type="pct" w:w="35%"/>
            <w:shd w:fill="FFFFFF" w:val="solid"/>
          </w:tcPr>
          <w:p>
            <w:r>
              <w:rPr>
                <w:b/>
                <w:bCs/>
                <w:color w:val="1B2A4A"/>
                <w:sz w:val="19"/>
                <w:szCs w:val="19"/>
              </w:rPr>
              <w:t xml:space="preserve">Timestamp Authority 2</w:t>
            </w:r>
          </w:p>
        </w:tc>
        <w:tc>
          <w:tcPr>
            <w:tcW w:type="pct" w:w="65%"/>
            <w:shd w:fill="FFFFFF" w:val="solid"/>
          </w:tcPr>
          <w:p>
            <w:r>
              <w:rPr>
                <w:color w:val="1B2A4A"/>
                <w:sz w:val="19"/>
                <w:szCs w:val="19"/>
              </w:rPr>
              <w:t xml:space="preserve">IP.com Prior Art Database</w:t>
            </w:r>
          </w:p>
        </w:tc>
      </w:tr>
      <w:tr>
        <w:tc>
          <w:tcPr>
            <w:tcW w:type="pct" w:w="35%"/>
            <w:shd w:fill="F5F3EE" w:val="solid"/>
          </w:tcPr>
          <w:p>
            <w:r>
              <w:rPr>
                <w:b/>
                <w:bCs/>
                <w:color w:val="1B2A4A"/>
                <w:sz w:val="19"/>
                <w:szCs w:val="19"/>
              </w:rPr>
              <w:t xml:space="preserve">Timestamp Authority 3</w:t>
            </w:r>
          </w:p>
        </w:tc>
        <w:tc>
          <w:tcPr>
            <w:tcW w:type="pct" w:w="65%"/>
            <w:shd w:fill="F5F3EE" w:val="solid"/>
          </w:tcPr>
          <w:p>
            <w:r>
              <w:rPr>
                <w:color w:val="1B2A4A"/>
                <w:sz w:val="19"/>
                <w:szCs w:val="19"/>
              </w:rPr>
              <w:t xml:space="preserve">CIPRO Provisional Application</w:t>
            </w:r>
          </w:p>
        </w:tc>
      </w:tr>
      <w:tr>
        <w:tc>
          <w:tcPr>
            <w:tcW w:type="pct" w:w="35%"/>
            <w:shd w:fill="FFFFFF" w:val="solid"/>
          </w:tcPr>
          <w:p>
            <w:r>
              <w:rPr>
                <w:b/>
                <w:bCs/>
                <w:color w:val="1B2A4A"/>
                <w:sz w:val="19"/>
                <w:szCs w:val="19"/>
              </w:rPr>
              <w:t xml:space="preserve">Timestamp Authority 4</w:t>
            </w:r>
          </w:p>
        </w:tc>
        <w:tc>
          <w:tcPr>
            <w:tcW w:type="pct" w:w="65%"/>
            <w:shd w:fill="FFFFFF" w:val="solid"/>
          </w:tcPr>
          <w:p>
            <w:r>
              <w:rPr>
                <w:color w:val="1B2A4A"/>
                <w:sz w:val="19"/>
                <w:szCs w:val="19"/>
              </w:rPr>
              <w:t xml:space="preserve">Bulk email distribution timestamp (5-wave launch)</w:t>
            </w:r>
          </w:p>
        </w:tc>
      </w:tr>
      <w:tr>
        <w:tc>
          <w:tcPr>
            <w:tcW w:type="pct" w:w="35%"/>
            <w:shd w:fill="F5F3EE" w:val="solid"/>
          </w:tcPr>
          <w:p>
            <w:r>
              <w:rPr>
                <w:b/>
                <w:bCs/>
                <w:color w:val="1B2A4A"/>
                <w:sz w:val="19"/>
                <w:szCs w:val="19"/>
              </w:rPr>
              <w:t xml:space="preserve">Timestamp Authority 5</w:t>
            </w:r>
          </w:p>
        </w:tc>
        <w:tc>
          <w:tcPr>
            <w:tcW w:type="pct" w:w="65%"/>
            <w:shd w:fill="F5F3EE" w:val="solid"/>
          </w:tcPr>
          <w:p>
            <w:r>
              <w:rPr>
                <w:color w:val="1B2A4A"/>
                <w:sz w:val="19"/>
                <w:szCs w:val="19"/>
              </w:rPr>
              <w:t xml:space="preserve">SHA-256 hash published to public blockchain</w:t>
            </w:r>
          </w:p>
        </w:tc>
      </w:tr>
    </w:tbl>
    <w:p>
      <w:pPr>
        <w:spacing w:after="0" w:before="120"/>
      </w:pPr>
      <w:r>
        <w:t xml:space="preserve"/>
      </w:r>
    </w:p>
    <w:p>
      <w:pPr>
        <w:pageBreakBefore/>
      </w:pPr>
      <w:r>
        <w:br/>
        <w:t xml:space="preserve"/>
      </w:r>
    </w:p>
    <w:p>
      <w:pPr>
        <w:spacing w:after="160" w:before="400"/>
        <w:jc w:val="left"/>
      </w:pPr>
      <w:r>
        <w:rPr>
          <w:b/>
          <w:bCs/>
          <w:color w:val="1B2A4A"/>
          <w:sz w:val="36"/>
          <w:szCs w:val="36"/>
        </w:rPr>
        <w:t xml:space="preserve">1. Executive Summary</w:t>
      </w:r>
    </w:p>
    <w:p>
      <w:pPr>
        <w:spacing w:after="80" w:before="80"/>
      </w:pPr>
      <w:r>
        <w:rPr>
          <w:color w:val="1B2A4A"/>
          <w:sz w:val="22"/>
          <w:szCs w:val="22"/>
        </w:rPr>
        <w:t xml:space="preserve">TrustSquare is a mobile-first, privacy-preserving marketplace that enables buyers and sellers to transact anonymously until both parties consent to introduction. The platform introduces a novel participation currency (Tuppence) that functions simultaneously as a buyer commitment signal, a spam filter, and a seller quality metric. The Unified Participation Model — wherein every user is both a potential buyer and a potential seller — is the core patentable innovation.</w:t>
      </w:r>
    </w:p>
    <w:p>
      <w:pPr>
        <w:spacing w:after="80" w:before="80"/>
      </w:pPr>
      <w:r>
        <w:rPr>
          <w:color w:val="1B2A4A"/>
          <w:sz w:val="22"/>
          <w:szCs w:val="22"/>
        </w:rPr>
        <w:t xml:space="preserve">This document constitutes a prior art disclosure and supports a CIPRO provisional patent application filed on launch day. All described methods, systems, and database schemas were conceived, designed, and implemented by TrustSquare (Pty) Ltd.</w:t>
      </w:r>
    </w:p>
    <w:p>
      <w:pPr>
        <w:spacing w:after="160" w:before="400"/>
        <w:jc w:val="left"/>
      </w:pPr>
      <w:r>
        <w:rPr>
          <w:b/>
          <w:bCs/>
          <w:color w:val="1B2A4A"/>
          <w:sz w:val="36"/>
          <w:szCs w:val="36"/>
        </w:rPr>
        <w:t xml:space="preserve">2. Problem Statement</w:t>
      </w:r>
    </w:p>
    <w:p>
      <w:pPr>
        <w:spacing w:after="80" w:before="80"/>
      </w:pPr>
      <w:r>
        <w:rPr>
          <w:color w:val="1B2A4A"/>
          <w:sz w:val="22"/>
          <w:szCs w:val="22"/>
        </w:rPr>
        <w:t xml:space="preserve">Existing marketplace platforms suffer from three structural deficiencies:</w:t>
      </w:r>
    </w:p>
    <w:p>
      <w:pPr>
        <w:spacing w:after="40" w:before="40"/>
      </w:pPr>
      <w:r>
        <w:rPr>
          <w:color w:val="1B2A4A"/>
          <w:sz w:val="22"/>
          <w:szCs w:val="22"/>
        </w:rPr>
        <w:t xml:space="preserve">  •  Asymmetric trust: buyers know who they are contacting; sellers receive cold inquiries with no quality signal</w:t>
      </w:r>
    </w:p>
    <w:p>
      <w:pPr>
        <w:spacing w:after="40" w:before="40"/>
      </w:pPr>
      <w:r>
        <w:rPr>
          <w:color w:val="1B2A4A"/>
          <w:sz w:val="22"/>
          <w:szCs w:val="22"/>
        </w:rPr>
        <w:t xml:space="preserve">  •  Advertising dependency: seller visibility is proportional to advertising spend, not competence or reputation</w:t>
      </w:r>
    </w:p>
    <w:p>
      <w:pPr>
        <w:spacing w:after="40" w:before="40"/>
      </w:pPr>
      <w:r>
        <w:rPr>
          <w:color w:val="1B2A4A"/>
          <w:sz w:val="22"/>
          <w:szCs w:val="22"/>
        </w:rPr>
        <w:t xml:space="preserve">  •  Identity exposure: sellers must publish personal contact details to be discoverable, creating phishing and spam surface</w:t>
      </w:r>
    </w:p>
    <w:p>
      <w:pPr>
        <w:spacing w:after="80" w:before="80"/>
      </w:pPr>
      <w:r>
        <w:rPr>
          <w:color w:val="1B2A4A"/>
          <w:sz w:val="22"/>
          <w:szCs w:val="22"/>
        </w:rPr>
        <w:t xml:space="preserve">No existing platform addresses all three simultaneously without reducing either buyer reach or seller discoverability.</w:t>
      </w:r>
    </w:p>
    <w:p>
      <w:pPr>
        <w:spacing w:after="160" w:before="400"/>
        <w:jc w:val="left"/>
      </w:pPr>
      <w:r>
        <w:rPr>
          <w:b/>
          <w:bCs/>
          <w:color w:val="1B2A4A"/>
          <w:sz w:val="36"/>
          <w:szCs w:val="36"/>
        </w:rPr>
        <w:t xml:space="preserve">3. Technical Innovation</w:t>
      </w:r>
    </w:p>
    <w:p>
      <w:pPr>
        <w:spacing w:after="120" w:before="280"/>
      </w:pPr>
      <w:r>
        <w:rPr>
          <w:b/>
          <w:bCs/>
          <w:color w:val="1B2A4A"/>
          <w:sz w:val="28"/>
          <w:szCs w:val="28"/>
        </w:rPr>
        <w:t xml:space="preserve">3.1 Unified Participation Model — Database Implementation</w:t>
      </w:r>
    </w:p>
    <w:p>
      <w:pPr>
        <w:spacing w:after="80" w:before="80"/>
      </w:pPr>
      <w:r>
        <w:rPr>
          <w:color w:val="1B2A4A"/>
          <w:sz w:val="22"/>
          <w:szCs w:val="22"/>
        </w:rPr>
        <w:t xml:space="preserve">The core innovation is a single-table user model where role is not a column — it is a state derived from the user's activity:</w:t>
      </w:r>
    </w:p>
    <w:p>
      <w:pPr>
        <w:spacing w:after="40" w:before="40"/>
      </w:pPr>
      <w:r>
        <w:rPr>
          <w:color w:val="1B2A4A"/>
          <w:sz w:val="22"/>
          <w:szCs w:val="22"/>
        </w:rPr>
        <w:t xml:space="preserve">  •  A user with no listings and Tuppence balance &gt; 0 is operating as a buyer</w:t>
      </w:r>
    </w:p>
    <w:p>
      <w:pPr>
        <w:spacing w:after="40" w:before="40"/>
      </w:pPr>
      <w:r>
        <w:rPr>
          <w:color w:val="1B2A4A"/>
          <w:sz w:val="22"/>
          <w:szCs w:val="22"/>
        </w:rPr>
        <w:t xml:space="preserve">  •  A user with at least one published listing is a seller</w:t>
      </w:r>
    </w:p>
    <w:p>
      <w:pPr>
        <w:spacing w:after="40" w:before="40"/>
      </w:pPr>
      <w:r>
        <w:rPr>
          <w:color w:val="1B2A4A"/>
          <w:sz w:val="22"/>
          <w:szCs w:val="22"/>
        </w:rPr>
        <w:t xml:space="preserve">  •  The same user may be both simultaneously</w:t>
      </w:r>
    </w:p>
    <w:p>
      <w:pPr>
        <w:spacing w:after="80" w:before="80"/>
      </w:pPr>
      <w:r>
        <w:rPr>
          <w:color w:val="1B2A4A"/>
          <w:sz w:val="22"/>
          <w:szCs w:val="22"/>
        </w:rPr>
        <w:t xml:space="preserve">The schema is implemented as follows:</w:t>
      </w:r>
    </w:p>
    <w:p>
      <w:pPr>
        <w:shd w:fill="F0F0F0" w:val="solid"/>
        <w:spacing w:after="0" w:before="80"/>
      </w:pPr>
      <w:r>
        <w:rPr>
          <w:rFonts w:ascii="Courier New" w:cs="Courier New" w:eastAsia="Courier New" w:hAnsi="Courier New"/>
          <w:color w:val="333333"/>
          <w:sz w:val="19"/>
          <w:szCs w:val="19"/>
        </w:rPr>
        <w:t xml:space="preserve">users(id, email, name, tuppence_balance, photo_url, created_at)</w:t>
      </w:r>
    </w:p>
    <w:p>
      <w:pPr>
        <w:shd w:fill="F0F0F0" w:val="solid"/>
        <w:spacing w:after="0" w:before="0"/>
      </w:pPr>
      <w:r>
        <w:rPr>
          <w:rFonts w:ascii="Courier New" w:cs="Courier New" w:eastAsia="Courier New" w:hAnsi="Courier New"/>
          <w:color w:val="333333"/>
          <w:sz w:val="19"/>
          <w:szCs w:val="19"/>
        </w:rPr>
        <w:t xml:space="preserve">listings(id, seller_email, category, city_id, suburb_id, status, trust_score)</w:t>
      </w:r>
    </w:p>
    <w:p>
      <w:pPr>
        <w:shd w:fill="F0F0F0" w:val="solid"/>
        <w:spacing w:after="0" w:before="0"/>
      </w:pPr>
      <w:r>
        <w:rPr>
          <w:rFonts w:ascii="Courier New" w:cs="Courier New" w:eastAsia="Courier New" w:hAnsi="Courier New"/>
          <w:color w:val="333333"/>
          <w:sz w:val="19"/>
          <w:szCs w:val="19"/>
        </w:rPr>
        <w:t xml:space="preserve">introductions(id, buyer_email, listing_id, tuppence_cost, status, created_at)</w:t>
      </w:r>
    </w:p>
    <w:p>
      <w:pPr>
        <w:shd w:fill="F0F0F0" w:val="solid"/>
        <w:spacing w:after="80" w:before="0"/>
      </w:pPr>
      <w:r>
        <w:rPr>
          <w:rFonts w:ascii="Courier New" w:cs="Courier New" w:eastAsia="Courier New" w:hAnsi="Courier New"/>
          <w:color w:val="333333"/>
          <w:sz w:val="19"/>
          <w:szCs w:val="19"/>
        </w:rPr>
        <w:t xml:space="preserve">tuppence_ledger(id, user_email, delta, reason, ref_id, created_at)</w:t>
      </w:r>
    </w:p>
    <w:p>
      <w:pPr>
        <w:spacing w:after="80" w:before="80"/>
      </w:pPr>
      <w:r>
        <w:rPr>
          <w:color w:val="1B2A4A"/>
          <w:sz w:val="22"/>
          <w:szCs w:val="22"/>
        </w:rPr>
        <w:t xml:space="preserve">This schema is unique: role emergence from transaction state (not schema column) is not implemented in any known prior art marketplace platform.</w:t>
      </w:r>
    </w:p>
    <w:p>
      <w:pPr>
        <w:spacing w:after="120" w:before="280"/>
      </w:pPr>
      <w:r>
        <w:rPr>
          <w:b/>
          <w:bCs/>
          <w:color w:val="1B2A4A"/>
          <w:sz w:val="28"/>
          <w:szCs w:val="28"/>
        </w:rPr>
        <w:t xml:space="preserve">3.2 Tuppence Micro-Currency</w:t>
      </w:r>
    </w:p>
    <w:p>
      <w:pPr>
        <w:spacing w:after="80" w:before="80"/>
      </w:pPr>
      <w:r>
        <w:rPr>
          <w:color w:val="1B2A4A"/>
          <w:sz w:val="22"/>
          <w:szCs w:val="22"/>
        </w:rPr>
        <w:t xml:space="preserve">Tuppence is a non-transferable platform credit with the following properties:</w:t>
      </w:r>
    </w:p>
    <w:p>
      <w:pPr>
        <w:spacing w:after="40" w:before="40"/>
      </w:pPr>
      <w:r>
        <w:rPr>
          <w:color w:val="1B2A4A"/>
          <w:sz w:val="22"/>
          <w:szCs w:val="22"/>
        </w:rPr>
        <w:t xml:space="preserve">  •  Purchased in bundles by buyers; cannot be withdrawn as cash</w:t>
      </w:r>
    </w:p>
    <w:p>
      <w:pPr>
        <w:spacing w:after="40" w:before="40"/>
      </w:pPr>
      <w:r>
        <w:rPr>
          <w:color w:val="1B2A4A"/>
          <w:sz w:val="22"/>
          <w:szCs w:val="22"/>
        </w:rPr>
        <w:t xml:space="preserve">  •  Burned on introduction request (non-refundable unless seller declines — partial refund policy)</w:t>
      </w:r>
    </w:p>
    <w:p>
      <w:pPr>
        <w:spacing w:after="40" w:before="40"/>
      </w:pPr>
      <w:r>
        <w:rPr>
          <w:color w:val="1B2A4A"/>
          <w:sz w:val="22"/>
          <w:szCs w:val="22"/>
        </w:rPr>
        <w:t xml:space="preserve">  •  Seller trust score is partially derived from introduction acceptance rate, creating a quality feedback loop</w:t>
      </w:r>
    </w:p>
    <w:p>
      <w:pPr>
        <w:spacing w:after="40" w:before="40"/>
      </w:pPr>
      <w:r>
        <w:rPr>
          <w:color w:val="1B2A4A"/>
          <w:sz w:val="22"/>
          <w:szCs w:val="22"/>
        </w:rPr>
        <w:t xml:space="preserve">  •  Zero marginal cost to issue; no regulatory classification as financial instrument in ZA jurisdiction</w:t>
      </w:r>
    </w:p>
    <w:p>
      <w:pPr>
        <w:spacing w:after="120" w:before="280"/>
      </w:pPr>
      <w:r>
        <w:rPr>
          <w:b/>
          <w:bCs/>
          <w:color w:val="1B2A4A"/>
          <w:sz w:val="28"/>
          <w:szCs w:val="28"/>
        </w:rPr>
        <w:t xml:space="preserve">3.3 Anonymous Introduction Protocol</w:t>
      </w:r>
    </w:p>
    <w:p>
      <w:pPr>
        <w:spacing w:after="80" w:before="80"/>
      </w:pPr>
      <w:r>
        <w:rPr>
          <w:color w:val="1B2A4A"/>
          <w:sz w:val="22"/>
          <w:szCs w:val="22"/>
        </w:rPr>
        <w:t xml:space="preserve">The introduction flow is: (1) buyer browses anonymised seller profiles (no email, phone, or surname visible); (2) buyer spends Tuppence to request introduction; (3) seller receives pseudonymised buyer summary; (4) seller accepts or declines; (5) on acceptance, both parties receive each other's contact details simultaneously. Neither party's contact information is ever stored in the other's device prior to mutual consent.</w:t>
      </w:r>
    </w:p>
    <w:p>
      <w:pPr>
        <w:spacing w:after="120" w:before="280"/>
      </w:pPr>
      <w:r>
        <w:rPr>
          <w:b/>
          <w:bCs/>
          <w:color w:val="1B2A4A"/>
          <w:sz w:val="28"/>
          <w:szCs w:val="28"/>
        </w:rPr>
        <w:t xml:space="preserve">3.4 Trust Score Architecture</w:t>
      </w:r>
    </w:p>
    <w:p>
      <w:pPr>
        <w:spacing w:after="80" w:before="80"/>
      </w:pPr>
      <w:r>
        <w:rPr>
          <w:color w:val="1B2A4A"/>
          <w:sz w:val="22"/>
          <w:szCs w:val="22"/>
        </w:rPr>
        <w:t xml:space="preserve">The Trust Score (0–100) is a weighted composite:</w:t>
      </w:r>
    </w:p>
    <w:p>
      <w:pPr>
        <w:spacing w:after="40" w:before="40"/>
      </w:pPr>
      <w:r>
        <w:rPr>
          <w:color w:val="1B2A4A"/>
          <w:sz w:val="22"/>
          <w:szCs w:val="22"/>
        </w:rPr>
        <w:t xml:space="preserve">  •  Verified credentials submitted and reviewed (30%)</w:t>
      </w:r>
    </w:p>
    <w:p>
      <w:pPr>
        <w:spacing w:after="40" w:before="40"/>
      </w:pPr>
      <w:r>
        <w:rPr>
          <w:color w:val="1B2A4A"/>
          <w:sz w:val="22"/>
          <w:szCs w:val="22"/>
        </w:rPr>
        <w:t xml:space="preserve">  •  Completed introductions / total introductions accepted (25%)</w:t>
      </w:r>
    </w:p>
    <w:p>
      <w:pPr>
        <w:spacing w:after="40" w:before="40"/>
      </w:pPr>
      <w:r>
        <w:rPr>
          <w:color w:val="1B2A4A"/>
          <w:sz w:val="22"/>
          <w:szCs w:val="22"/>
        </w:rPr>
        <w:t xml:space="preserve">  •  Average buyer rating post-introduction (25%)</w:t>
      </w:r>
    </w:p>
    <w:p>
      <w:pPr>
        <w:spacing w:after="40" w:before="40"/>
      </w:pPr>
      <w:r>
        <w:rPr>
          <w:color w:val="1B2A4A"/>
          <w:sz w:val="22"/>
          <w:szCs w:val="22"/>
        </w:rPr>
        <w:t xml:space="preserve">  •  Response rate to introduction requests (10%)</w:t>
      </w:r>
    </w:p>
    <w:p>
      <w:pPr>
        <w:spacing w:after="40" w:before="40"/>
      </w:pPr>
      <w:r>
        <w:rPr>
          <w:color w:val="1B2A4A"/>
          <w:sz w:val="22"/>
          <w:szCs w:val="22"/>
        </w:rPr>
        <w:t xml:space="preserve">  •  Account tenure (10%)</w:t>
      </w:r>
    </w:p>
    <w:p>
      <w:pPr>
        <w:spacing w:after="80" w:before="80"/>
      </w:pPr>
      <w:r>
        <w:rPr>
          <w:color w:val="1B2A4A"/>
          <w:sz w:val="22"/>
          <w:szCs w:val="22"/>
        </w:rPr>
        <w:t xml:space="preserve">The score is calculated server-side and cannot be self-reported or self-modified by the seller.</w:t>
      </w:r>
    </w:p>
    <w:p>
      <w:pPr>
        <w:spacing w:after="160" w:before="400"/>
        <w:jc w:val="left"/>
      </w:pPr>
      <w:r>
        <w:rPr>
          <w:b/>
          <w:bCs/>
          <w:color w:val="1B2A4A"/>
          <w:sz w:val="36"/>
          <w:szCs w:val="36"/>
        </w:rPr>
        <w:t xml:space="preserve">4. Patent Claims</w:t>
      </w:r>
    </w:p>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1: Unified Participation Model</w:t>
            </w:r>
          </w:p>
          <w:p>
            <w:pPr>
              <w:spacing w:after="80" w:before="40"/>
            </w:pPr>
            <w:r>
              <w:rPr>
                <w:color w:val="F5F3EE"/>
                <w:sz w:val="20"/>
                <w:szCs w:val="20"/>
              </w:rPr>
              <w:t xml:space="preserve">A computer-implemented marketplace system wherein user role (buyer or seller) is not stored as a database attribute but is derived at runtime from the user's transaction state, enabling a single account to act as both buyer and seller simultaneously without account switching or role assignment.</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2: Tuppence Introduction Currency</w:t>
            </w:r>
          </w:p>
          <w:p>
            <w:pPr>
              <w:spacing w:after="80" w:before="40"/>
            </w:pPr>
            <w:r>
              <w:rPr>
                <w:color w:val="F5F3EE"/>
                <w:sz w:val="20"/>
                <w:szCs w:val="20"/>
              </w:rPr>
              <w:t xml:space="preserve">A non-transferable, platform-native micro-currency used exclusively to gate marketplace introductions, wherein currency expenditure functions simultaneously as a spam filter, a buyer commitment signal, and a data input to seller trust scoring.</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3: Anonymous Introduction Protocol</w:t>
            </w:r>
          </w:p>
          <w:p>
            <w:pPr>
              <w:spacing w:after="80" w:before="40"/>
            </w:pPr>
            <w:r>
              <w:rPr>
                <w:color w:val="F5F3EE"/>
                <w:sz w:val="20"/>
                <w:szCs w:val="20"/>
              </w:rPr>
              <w:t xml:space="preserve">A method for connecting marketplace participants wherein no personal identifying information (email, phone, legal name) is transmitted to either party until both parties have provided affirmative consent in the same transaction, with simultaneous bilateral disclosure on consent.</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4: Trust Score Composite</w:t>
            </w:r>
          </w:p>
          <w:p>
            <w:pPr>
              <w:spacing w:after="80" w:before="40"/>
            </w:pPr>
            <w:r>
              <w:rPr>
                <w:color w:val="F5F3EE"/>
                <w:sz w:val="20"/>
                <w:szCs w:val="20"/>
              </w:rPr>
              <w:t xml:space="preserve">A seller reputation metric computed exclusively from verifiable transaction data (credentials, completed introductions, response rate, buyer ratings, tenure), with no self-reported inputs and no ability for the seller to modify their own score.</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5: Geo-Hierarchical Listing Visibility</w:t>
            </w:r>
          </w:p>
          <w:p>
            <w:pPr>
              <w:spacing w:after="80" w:before="40"/>
            </w:pPr>
            <w:r>
              <w:rPr>
                <w:color w:val="F5F3EE"/>
                <w:sz w:val="20"/>
                <w:szCs w:val="20"/>
              </w:rPr>
              <w:t xml:space="preserve">A listing visibility system implementing a four-level geographic hierarchy (Country → Region → City → Suburb) where seller visibility radius is gated by subscription tier, and buyer search results are ranked by proximity within the buyer's declared location.</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6: Founding Seller Cohort Mechanism</w:t>
            </w:r>
          </w:p>
          <w:p>
            <w:pPr>
              <w:spacing w:after="80" w:before="40"/>
            </w:pPr>
            <w:r>
              <w:rPr>
                <w:color w:val="F5F3EE"/>
                <w:sz w:val="20"/>
                <w:szCs w:val="20"/>
              </w:rPr>
              <w:t xml:space="preserve">A marketplace launch mechanism wherein a fixed-size cohort of early sellers receives permanent priority placement in search results as a non-monetary incentive for pre-launch participation, creating a defensible first-mover advantage for founding participants.</w:t>
            </w:r>
          </w:p>
        </w:tc>
      </w:tr>
    </w:tbl>
    <w:p>
      <w:pPr>
        <w:spacing w:after="0" w:before="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solid"/>
          </w:tcPr>
          <w:p>
            <w:pPr>
              <w:spacing w:after="40" w:before="80"/>
            </w:pPr>
            <w:r>
              <w:rPr>
                <w:b/>
                <w:bCs/>
                <w:caps/>
                <w:color w:val="FFFFFF"/>
                <w:sz w:val="22"/>
                <w:szCs w:val="22"/>
              </w:rPr>
              <w:t xml:space="preserve">CLAIM 7: Combination Claim</w:t>
            </w:r>
          </w:p>
          <w:p>
            <w:pPr>
              <w:spacing w:after="80" w:before="40"/>
            </w:pPr>
            <w:r>
              <w:rPr>
                <w:color w:val="F5F3EE"/>
                <w:sz w:val="20"/>
                <w:szCs w:val="20"/>
              </w:rPr>
              <w:t xml:space="preserve">A marketplace system combining claims 1 through 6: a unified-role user model, introduction currency, anonymous consent protocol, verifiable trust score, geo-tiered visibility, and founding cohort mechanics, operating as an integrated platform with no prior art equivalent.</w:t>
            </w:r>
          </w:p>
        </w:tc>
      </w:tr>
    </w:tbl>
    <w:p>
      <w:pPr>
        <w:spacing w:after="0" w:before="120"/>
      </w:pPr>
      <w:r>
        <w:t xml:space="preserve"/>
      </w:r>
    </w:p>
    <w:p>
      <w:pPr>
        <w:spacing w:after="160" w:before="400"/>
        <w:jc w:val="left"/>
      </w:pPr>
      <w:r>
        <w:rPr>
          <w:b/>
          <w:bCs/>
          <w:color w:val="1B2A4A"/>
          <w:sz w:val="36"/>
          <w:szCs w:val="36"/>
        </w:rPr>
        <w:t xml:space="preserve">5. Competitive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solid"/>
          </w:tcPr>
          <w:p>
            <w:r>
              <w:rPr>
                <w:b/>
                <w:bCs/>
                <w:color w:val="FFFFFF"/>
                <w:sz w:val="19"/>
                <w:szCs w:val="19"/>
              </w:rPr>
              <w:t xml:space="preserve">Feature</w:t>
            </w:r>
          </w:p>
        </w:tc>
        <w:tc>
          <w:tcPr>
            <w:shd w:fill="1B2A4A" w:val="solid"/>
          </w:tcPr>
          <w:p>
            <w:r>
              <w:rPr>
                <w:b/>
                <w:bCs/>
                <w:color w:val="FFFFFF"/>
                <w:sz w:val="19"/>
                <w:szCs w:val="19"/>
              </w:rPr>
              <w:t xml:space="preserve">TrustSquare</w:t>
            </w:r>
          </w:p>
        </w:tc>
        <w:tc>
          <w:tcPr>
            <w:shd w:fill="1B2A4A" w:val="solid"/>
          </w:tcPr>
          <w:p>
            <w:r>
              <w:rPr>
                <w:b/>
                <w:bCs/>
                <w:color w:val="FFFFFF"/>
                <w:sz w:val="19"/>
                <w:szCs w:val="19"/>
              </w:rPr>
              <w:t xml:space="preserve">Thumbtack</w:t>
            </w:r>
          </w:p>
        </w:tc>
        <w:tc>
          <w:tcPr>
            <w:shd w:fill="1B2A4A" w:val="solid"/>
          </w:tcPr>
          <w:p>
            <w:r>
              <w:rPr>
                <w:b/>
                <w:bCs/>
                <w:color w:val="FFFFFF"/>
                <w:sz w:val="19"/>
                <w:szCs w:val="19"/>
              </w:rPr>
              <w:t xml:space="preserve">LinkedIn</w:t>
            </w:r>
          </w:p>
        </w:tc>
        <w:tc>
          <w:tcPr>
            <w:shd w:fill="1B2A4A" w:val="solid"/>
          </w:tcPr>
          <w:p>
            <w:r>
              <w:rPr>
                <w:b/>
                <w:bCs/>
                <w:color w:val="FFFFFF"/>
                <w:sz w:val="19"/>
                <w:szCs w:val="19"/>
              </w:rPr>
              <w:t xml:space="preserve">Bark.com</w:t>
            </w:r>
          </w:p>
        </w:tc>
      </w:tr>
      <w:tr>
        <w:tc>
          <w:tcPr>
            <w:shd w:fill="F5F3EE" w:val="solid"/>
          </w:tcPr>
          <w:p>
            <w:r>
              <w:rPr>
                <w:color w:val="1B2A4A"/>
                <w:sz w:val="19"/>
                <w:szCs w:val="19"/>
              </w:rPr>
              <w:t xml:space="preserve">Role unification</w:t>
            </w:r>
          </w:p>
        </w:tc>
        <w:tc>
          <w:tcPr>
            <w:shd w:fill="F5F3EE" w:val="solid"/>
          </w:tcPr>
          <w:p>
            <w:r>
              <w:rPr>
                <w:color w:val="1B2A4A"/>
                <w:sz w:val="19"/>
                <w:szCs w:val="19"/>
              </w:rPr>
              <w:t xml:space="preserve">Yes</w:t>
            </w:r>
          </w:p>
        </w:tc>
        <w:tc>
          <w:tcPr>
            <w:shd w:fill="F5F3EE" w:val="solid"/>
          </w:tcPr>
          <w:p>
            <w:r>
              <w:rPr>
                <w:color w:val="1B2A4A"/>
                <w:sz w:val="19"/>
                <w:szCs w:val="19"/>
              </w:rPr>
              <w:t xml:space="preserve">No</w:t>
            </w:r>
          </w:p>
        </w:tc>
        <w:tc>
          <w:tcPr>
            <w:shd w:fill="F5F3EE" w:val="solid"/>
          </w:tcPr>
          <w:p>
            <w:r>
              <w:rPr>
                <w:color w:val="1B2A4A"/>
                <w:sz w:val="19"/>
                <w:szCs w:val="19"/>
              </w:rPr>
              <w:t xml:space="preserve">No</w:t>
            </w:r>
          </w:p>
        </w:tc>
        <w:tc>
          <w:tcPr>
            <w:shd w:fill="F5F3EE" w:val="solid"/>
          </w:tcPr>
          <w:p>
            <w:r>
              <w:rPr>
                <w:color w:val="1B2A4A"/>
                <w:sz w:val="19"/>
                <w:szCs w:val="19"/>
              </w:rPr>
              <w:t xml:space="preserve">No</w:t>
            </w:r>
          </w:p>
        </w:tc>
      </w:tr>
      <w:tr>
        <w:tc>
          <w:tcPr>
            <w:shd w:fill="FFFFFF" w:val="solid"/>
          </w:tcPr>
          <w:p>
            <w:r>
              <w:rPr>
                <w:color w:val="1B2A4A"/>
                <w:sz w:val="19"/>
                <w:szCs w:val="19"/>
              </w:rPr>
              <w:t xml:space="preserve">Anonymous until consent</w:t>
            </w:r>
          </w:p>
        </w:tc>
        <w:tc>
          <w:tcPr>
            <w:shd w:fill="FFFFFF" w:val="solid"/>
          </w:tcPr>
          <w:p>
            <w:r>
              <w:rPr>
                <w:color w:val="1B2A4A"/>
                <w:sz w:val="19"/>
                <w:szCs w:val="19"/>
              </w:rPr>
              <w:t xml:space="preserve">Yes</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r>
      <w:tr>
        <w:tc>
          <w:tcPr>
            <w:shd w:fill="F5F3EE" w:val="solid"/>
          </w:tcPr>
          <w:p>
            <w:r>
              <w:rPr>
                <w:color w:val="1B2A4A"/>
                <w:sz w:val="19"/>
                <w:szCs w:val="19"/>
              </w:rPr>
              <w:t xml:space="preserve">Buyer pays to contact</w:t>
            </w:r>
          </w:p>
        </w:tc>
        <w:tc>
          <w:tcPr>
            <w:shd w:fill="F5F3EE" w:val="solid"/>
          </w:tcPr>
          <w:p>
            <w:r>
              <w:rPr>
                <w:color w:val="1B2A4A"/>
                <w:sz w:val="19"/>
                <w:szCs w:val="19"/>
              </w:rPr>
              <w:t xml:space="preserve">Yes</w:t>
            </w:r>
          </w:p>
        </w:tc>
        <w:tc>
          <w:tcPr>
            <w:shd w:fill="F5F3EE" w:val="solid"/>
          </w:tcPr>
          <w:p>
            <w:r>
              <w:rPr>
                <w:color w:val="1B2A4A"/>
                <w:sz w:val="19"/>
                <w:szCs w:val="19"/>
              </w:rPr>
              <w:t xml:space="preserve">No</w:t>
            </w:r>
          </w:p>
        </w:tc>
        <w:tc>
          <w:tcPr>
            <w:shd w:fill="F5F3EE" w:val="solid"/>
          </w:tcPr>
          <w:p>
            <w:r>
              <w:rPr>
                <w:color w:val="1B2A4A"/>
                <w:sz w:val="19"/>
                <w:szCs w:val="19"/>
              </w:rPr>
              <w:t xml:space="preserve">No</w:t>
            </w:r>
          </w:p>
        </w:tc>
        <w:tc>
          <w:tcPr>
            <w:shd w:fill="F5F3EE" w:val="solid"/>
          </w:tcPr>
          <w:p>
            <w:r>
              <w:rPr>
                <w:color w:val="1B2A4A"/>
                <w:sz w:val="19"/>
                <w:szCs w:val="19"/>
              </w:rPr>
              <w:t xml:space="preserve">Partial</w:t>
            </w:r>
          </w:p>
        </w:tc>
      </w:tr>
      <w:tr>
        <w:tc>
          <w:tcPr>
            <w:shd w:fill="FFFFFF" w:val="solid"/>
          </w:tcPr>
          <w:p>
            <w:r>
              <w:rPr>
                <w:color w:val="1B2A4A"/>
                <w:sz w:val="19"/>
                <w:szCs w:val="19"/>
              </w:rPr>
              <w:t xml:space="preserve">Trust score (non-self-reported)</w:t>
            </w:r>
          </w:p>
        </w:tc>
        <w:tc>
          <w:tcPr>
            <w:shd w:fill="FFFFFF" w:val="solid"/>
          </w:tcPr>
          <w:p>
            <w:r>
              <w:rPr>
                <w:color w:val="1B2A4A"/>
                <w:sz w:val="19"/>
                <w:szCs w:val="19"/>
              </w:rPr>
              <w:t xml:space="preserve">Yes</w:t>
            </w:r>
          </w:p>
        </w:tc>
        <w:tc>
          <w:tcPr>
            <w:shd w:fill="FFFFFF" w:val="solid"/>
          </w:tcPr>
          <w:p>
            <w:r>
              <w:rPr>
                <w:color w:val="1B2A4A"/>
                <w:sz w:val="19"/>
                <w:szCs w:val="19"/>
              </w:rPr>
              <w:t xml:space="preserve">Partial</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r>
      <w:tr>
        <w:tc>
          <w:tcPr>
            <w:shd w:fill="F5F3EE" w:val="solid"/>
          </w:tcPr>
          <w:p>
            <w:r>
              <w:rPr>
                <w:color w:val="1B2A4A"/>
                <w:sz w:val="19"/>
                <w:szCs w:val="19"/>
              </w:rPr>
              <w:t xml:space="preserve">No advertising model</w:t>
            </w:r>
          </w:p>
        </w:tc>
        <w:tc>
          <w:tcPr>
            <w:shd w:fill="F5F3EE" w:val="solid"/>
          </w:tcPr>
          <w:p>
            <w:r>
              <w:rPr>
                <w:color w:val="1B2A4A"/>
                <w:sz w:val="19"/>
                <w:szCs w:val="19"/>
              </w:rPr>
              <w:t xml:space="preserve">Yes</w:t>
            </w:r>
          </w:p>
        </w:tc>
        <w:tc>
          <w:tcPr>
            <w:shd w:fill="F5F3EE" w:val="solid"/>
          </w:tcPr>
          <w:p>
            <w:r>
              <w:rPr>
                <w:color w:val="1B2A4A"/>
                <w:sz w:val="19"/>
                <w:szCs w:val="19"/>
              </w:rPr>
              <w:t xml:space="preserve">No</w:t>
            </w:r>
          </w:p>
        </w:tc>
        <w:tc>
          <w:tcPr>
            <w:shd w:fill="F5F3EE" w:val="solid"/>
          </w:tcPr>
          <w:p>
            <w:r>
              <w:rPr>
                <w:color w:val="1B2A4A"/>
                <w:sz w:val="19"/>
                <w:szCs w:val="19"/>
              </w:rPr>
              <w:t xml:space="preserve">Partial</w:t>
            </w:r>
          </w:p>
        </w:tc>
        <w:tc>
          <w:tcPr>
            <w:shd w:fill="F5F3EE" w:val="solid"/>
          </w:tcPr>
          <w:p>
            <w:r>
              <w:rPr>
                <w:color w:val="1B2A4A"/>
                <w:sz w:val="19"/>
                <w:szCs w:val="19"/>
              </w:rPr>
              <w:t xml:space="preserve">No</w:t>
            </w:r>
          </w:p>
        </w:tc>
      </w:tr>
      <w:tr>
        <w:tc>
          <w:tcPr>
            <w:shd w:fill="FFFFFF" w:val="solid"/>
          </w:tcPr>
          <w:p>
            <w:r>
              <w:rPr>
                <w:color w:val="1B2A4A"/>
                <w:sz w:val="19"/>
                <w:szCs w:val="19"/>
              </w:rPr>
              <w:t xml:space="preserve">Geo-tiered visibility</w:t>
            </w:r>
          </w:p>
        </w:tc>
        <w:tc>
          <w:tcPr>
            <w:shd w:fill="FFFFFF" w:val="solid"/>
          </w:tcPr>
          <w:p>
            <w:r>
              <w:rPr>
                <w:color w:val="1B2A4A"/>
                <w:sz w:val="19"/>
                <w:szCs w:val="19"/>
              </w:rPr>
              <w:t xml:space="preserve">Yes</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c>
          <w:tcPr>
            <w:shd w:fill="FFFFFF" w:val="solid"/>
          </w:tcPr>
          <w:p>
            <w:r>
              <w:rPr>
                <w:color w:val="1B2A4A"/>
                <w:sz w:val="19"/>
                <w:szCs w:val="19"/>
              </w:rPr>
              <w:t xml:space="preserve">No</w:t>
            </w:r>
          </w:p>
        </w:tc>
      </w:tr>
    </w:tbl>
    <w:p>
      <w:pPr>
        <w:spacing w:after="160" w:before="400"/>
        <w:jc w:val="left"/>
      </w:pPr>
      <w:r>
        <w:rPr>
          <w:b/>
          <w:bCs/>
          <w:color w:val="1B2A4A"/>
          <w:sz w:val="36"/>
          <w:szCs w:val="36"/>
        </w:rPr>
        <w:t xml:space="preserve">6. Market Opportunity</w:t>
      </w:r>
    </w:p>
    <w:p>
      <w:pPr>
        <w:spacing w:after="80" w:before="80"/>
      </w:pPr>
      <w:r>
        <w:rPr>
          <w:color w:val="1B2A4A"/>
          <w:sz w:val="22"/>
          <w:szCs w:val="22"/>
        </w:rPr>
        <w:t xml:space="preserve">Initial target: South Africa (property agents, domestic services, professional services). 57 million population. 5,000+ registered estate agents in Gauteng alone. Addressable market for Pretoria launch: approximately 800 active residential agents.</w:t>
      </w:r>
    </w:p>
    <w:p>
      <w:pPr>
        <w:spacing w:after="80" w:before="80"/>
      </w:pPr>
      <w:r>
        <w:rPr>
          <w:color w:val="1B2A4A"/>
          <w:sz w:val="22"/>
          <w:szCs w:val="22"/>
        </w:rPr>
        <w:t xml:space="preserve">Expansion pathway: city-by-city rollout using CityLauncher recruitment tool. Target 10 cities in Year 1, 100 cities in Year 3. International expansion via dual-entity structure (SA entity + international IP-holding entity).</w:t>
      </w:r>
    </w:p>
    <w:p>
      <w:pPr>
        <w:spacing w:after="160" w:before="400"/>
        <w:jc w:val="left"/>
      </w:pPr>
      <w:r>
        <w:rPr>
          <w:b/>
          <w:bCs/>
          <w:color w:val="1B2A4A"/>
          <w:sz w:val="36"/>
          <w:szCs w:val="36"/>
        </w:rPr>
        <w:t xml:space="preserve">7. Infrastructure &amp; Security Architecture</w:t>
      </w:r>
    </w:p>
    <w:p>
      <w:pPr>
        <w:spacing w:after="120" w:before="280"/>
      </w:pPr>
      <w:r>
        <w:rPr>
          <w:b/>
          <w:bCs/>
          <w:color w:val="1B2A4A"/>
          <w:sz w:val="28"/>
          <w:szCs w:val="28"/>
        </w:rPr>
        <w:t xml:space="preserve">7.1 Current Stack</w:t>
      </w:r>
    </w:p>
    <w:p>
      <w:pPr>
        <w:spacing w:after="40" w:before="40"/>
      </w:pPr>
      <w:r>
        <w:rPr>
          <w:color w:val="1B2A4A"/>
          <w:sz w:val="22"/>
          <w:szCs w:val="22"/>
        </w:rPr>
        <w:t xml:space="preserve">  •  Application: FastAPI (Python) on Hetzner CPX22, Ubuntu 24.04</w:t>
      </w:r>
    </w:p>
    <w:p>
      <w:pPr>
        <w:spacing w:after="40" w:before="40"/>
      </w:pPr>
      <w:r>
        <w:rPr>
          <w:color w:val="1B2A4A"/>
          <w:sz w:val="22"/>
          <w:szCs w:val="22"/>
        </w:rPr>
        <w:t xml:space="preserve">  •  Database: SQLite (production) with daily R2 backups, 14-day retention</w:t>
      </w:r>
    </w:p>
    <w:p>
      <w:pPr>
        <w:spacing w:after="40" w:before="40"/>
      </w:pPr>
      <w:r>
        <w:rPr>
          <w:color w:val="1B2A4A"/>
          <w:sz w:val="22"/>
          <w:szCs w:val="22"/>
        </w:rPr>
        <w:t xml:space="preserve">  •  Media storage: Cloudflare R2 (EU), zero egress cost</w:t>
      </w:r>
    </w:p>
    <w:p>
      <w:pPr>
        <w:spacing w:after="40" w:before="40"/>
      </w:pPr>
      <w:r>
        <w:rPr>
          <w:color w:val="1B2A4A"/>
          <w:sz w:val="22"/>
          <w:szCs w:val="22"/>
        </w:rPr>
        <w:t xml:space="preserve">  •  Automation: n8n (Docker) for email workflows</w:t>
      </w:r>
    </w:p>
    <w:p>
      <w:pPr>
        <w:spacing w:after="40" w:before="40"/>
      </w:pPr>
      <w:r>
        <w:rPr>
          <w:color w:val="1B2A4A"/>
          <w:sz w:val="22"/>
          <w:szCs w:val="22"/>
        </w:rPr>
        <w:t xml:space="preserve">  •  DNS/CDN: Cloudflare</w:t>
      </w:r>
    </w:p>
    <w:p>
      <w:pPr>
        <w:spacing w:after="120" w:before="280"/>
      </w:pPr>
      <w:r>
        <w:rPr>
          <w:b/>
          <w:bCs/>
          <w:color w:val="1B2A4A"/>
          <w:sz w:val="28"/>
          <w:szCs w:val="28"/>
        </w:rPr>
        <w:t xml:space="preserve">7.2 Redundancy Roadmap</w:t>
      </w:r>
    </w:p>
    <w:p>
      <w:pPr>
        <w:spacing w:after="40" w:before="40"/>
      </w:pPr>
      <w:r>
        <w:rPr>
          <w:color w:val="1B2A4A"/>
          <w:sz w:val="22"/>
          <w:szCs w:val="22"/>
        </w:rPr>
        <w:t xml:space="preserve">  •  Database: Migrate to PostgreSQL with streaming replication to secondary node (Year 1 Q3)</w:t>
      </w:r>
    </w:p>
    <w:p>
      <w:pPr>
        <w:spacing w:after="40" w:before="40"/>
      </w:pPr>
      <w:r>
        <w:rPr>
          <w:color w:val="1B2A4A"/>
          <w:sz w:val="22"/>
          <w:szCs w:val="22"/>
        </w:rPr>
        <w:t xml:space="preserve">  •  Application: Multi-region VPS with Cloudflare load balancing (Year 1 Q4)</w:t>
      </w:r>
    </w:p>
    <w:p>
      <w:pPr>
        <w:spacing w:after="40" w:before="40"/>
      </w:pPr>
      <w:r>
        <w:rPr>
          <w:color w:val="1B2A4A"/>
          <w:sz w:val="22"/>
          <w:szCs w:val="22"/>
        </w:rPr>
        <w:t xml:space="preserve">  •  Source control: GitHub primary + GitLab mirror (active)</w:t>
      </w:r>
    </w:p>
    <w:p>
      <w:pPr>
        <w:spacing w:after="40" w:before="40"/>
      </w:pPr>
      <w:r>
        <w:rPr>
          <w:color w:val="1B2A4A"/>
          <w:sz w:val="22"/>
          <w:szCs w:val="22"/>
        </w:rPr>
        <w:t xml:space="preserve">  •  Payment: Paystack (ZA) + PayFast (ZA backup) + Stripe (international) + Paddle MoR (VAT compliance)</w:t>
      </w:r>
    </w:p>
    <w:p>
      <w:pPr>
        <w:spacing w:after="40" w:before="40"/>
      </w:pPr>
      <w:r>
        <w:rPr>
          <w:color w:val="1B2A4A"/>
          <w:sz w:val="22"/>
          <w:szCs w:val="22"/>
        </w:rPr>
        <w:t xml:space="preserve">  •  Country portability: Platform operable from any jurisdiction; IP held by international entity</w:t>
      </w:r>
    </w:p>
    <w:p>
      <w:pPr>
        <w:spacing w:after="120" w:before="280"/>
      </w:pPr>
      <w:r>
        <w:rPr>
          <w:b/>
          <w:bCs/>
          <w:color w:val="1B2A4A"/>
          <w:sz w:val="28"/>
          <w:szCs w:val="28"/>
        </w:rPr>
        <w:t xml:space="preserve">7.3 Security Architecture</w:t>
      </w:r>
    </w:p>
    <w:p>
      <w:pPr>
        <w:spacing w:after="40" w:before="40"/>
      </w:pPr>
      <w:r>
        <w:rPr>
          <w:color w:val="1B2A4A"/>
          <w:sz w:val="22"/>
          <w:szCs w:val="22"/>
        </w:rPr>
        <w:t xml:space="preserve">  •  Authentication: Magic link (no password storage); email-based listing edit auth</w:t>
      </w:r>
    </w:p>
    <w:p>
      <w:pPr>
        <w:spacing w:after="40" w:before="40"/>
      </w:pPr>
      <w:r>
        <w:rPr>
          <w:color w:val="1B2A4A"/>
          <w:sz w:val="22"/>
          <w:szCs w:val="22"/>
        </w:rPr>
        <w:t xml:space="preserve">  •  API: Rate limiting on all endpoints; request signing for sensitive mutations</w:t>
      </w:r>
    </w:p>
    <w:p>
      <w:pPr>
        <w:spacing w:after="40" w:before="40"/>
      </w:pPr>
      <w:r>
        <w:rPr>
          <w:color w:val="1B2A4A"/>
          <w:sz w:val="22"/>
          <w:szCs w:val="22"/>
        </w:rPr>
        <w:t xml:space="preserve">  •  Email: DMARC + DKIM + SPF configured on all sending domains</w:t>
      </w:r>
    </w:p>
    <w:p>
      <w:pPr>
        <w:spacing w:after="40" w:before="40"/>
      </w:pPr>
      <w:r>
        <w:rPr>
          <w:color w:val="1B2A4A"/>
          <w:sz w:val="22"/>
          <w:szCs w:val="22"/>
        </w:rPr>
        <w:t xml:space="preserve">  •  Data: No PII transmitted until bilateral consent; seller email never exposed in API responses</w:t>
      </w:r>
    </w:p>
    <w:p>
      <w:pPr>
        <w:spacing w:after="40" w:before="40"/>
      </w:pPr>
      <w:r>
        <w:rPr>
          <w:color w:val="1B2A4A"/>
          <w:sz w:val="22"/>
          <w:szCs w:val="22"/>
        </w:rPr>
        <w:t xml:space="preserve">  •  Phishing resistance: No domain lookalikes tolerated; CIPRO trademark filing on TrustSquare name</w:t>
      </w:r>
    </w:p>
    <w:p>
      <w:pPr>
        <w:spacing w:after="160" w:before="400"/>
        <w:jc w:val="left"/>
      </w:pPr>
      <w:r>
        <w:rPr>
          <w:b/>
          <w:bCs/>
          <w:color w:val="1B2A4A"/>
          <w:sz w:val="36"/>
          <w:szCs w:val="36"/>
        </w:rPr>
        <w:t xml:space="preserve">8. Business Model</w:t>
      </w:r>
    </w:p>
    <w:p>
      <w:pPr>
        <w:spacing w:after="40" w:before="40"/>
      </w:pPr>
      <w:r>
        <w:rPr>
          <w:color w:val="1B2A4A"/>
          <w:sz w:val="22"/>
          <w:szCs w:val="22"/>
        </w:rPr>
        <w:t xml:space="preserve">  •  Buyer revenue: Tuppence bundle purchases (R10–R200 per bundle)</w:t>
      </w:r>
    </w:p>
    <w:p>
      <w:pPr>
        <w:spacing w:after="40" w:before="40"/>
      </w:pPr>
      <w:r>
        <w:rPr>
          <w:color w:val="1B2A4A"/>
          <w:sz w:val="22"/>
          <w:szCs w:val="22"/>
        </w:rPr>
        <w:t xml:space="preserve">  •  Seller revenue: Subscription tiers (Free — suburb visibility; Starter — city; Premium — country)</w:t>
      </w:r>
    </w:p>
    <w:p>
      <w:pPr>
        <w:spacing w:after="40" w:before="40"/>
      </w:pPr>
      <w:r>
        <w:rPr>
          <w:color w:val="1B2A4A"/>
          <w:sz w:val="22"/>
          <w:szCs w:val="22"/>
        </w:rPr>
        <w:t xml:space="preserve">  •  No advertising revenue. No commission on transactions. No data sales.</w:t>
      </w:r>
    </w:p>
    <w:p>
      <w:pPr>
        <w:spacing w:after="80" w:before="80"/>
      </w:pPr>
      <w:r>
        <w:rPr>
          <w:color w:val="1B2A4A"/>
          <w:sz w:val="22"/>
          <w:szCs w:val="22"/>
        </w:rPr>
        <w:t xml:space="preserve">Merchant of Record (Paddle) handles VAT/tax compliance for international buyers. SA buyers processed via Paystack.</w:t>
      </w:r>
    </w:p>
    <w:p>
      <w:pPr>
        <w:spacing w:after="160" w:before="400"/>
        <w:jc w:val="left"/>
      </w:pPr>
      <w:r>
        <w:rPr>
          <w:b/>
          <w:bCs/>
          <w:color w:val="1B2A4A"/>
          <w:sz w:val="36"/>
          <w:szCs w:val="36"/>
        </w:rPr>
        <w:t xml:space="preserve">9. Glossary</w:t>
      </w:r>
    </w:p>
    <w:p>
      <w:pPr>
        <w:spacing w:after="40" w:before="40"/>
      </w:pPr>
      <w:r>
        <w:rPr>
          <w:color w:val="1B2A4A"/>
          <w:sz w:val="22"/>
          <w:szCs w:val="22"/>
        </w:rPr>
        <w:t xml:space="preserve">  •  BEA: Backend Agent — the FastAPI application (bea_main.py)</w:t>
      </w:r>
    </w:p>
    <w:p>
      <w:pPr>
        <w:spacing w:after="40" w:before="40"/>
      </w:pPr>
      <w:r>
        <w:rPr>
          <w:color w:val="1B2A4A"/>
          <w:sz w:val="22"/>
          <w:szCs w:val="22"/>
        </w:rPr>
        <w:t xml:space="preserve">  •  FEA: Frontend Agent — the single-page buyer app (marketsquare.html)</w:t>
      </w:r>
    </w:p>
    <w:p>
      <w:pPr>
        <w:spacing w:after="40" w:before="40"/>
      </w:pPr>
      <w:r>
        <w:rPr>
          <w:color w:val="1B2A4A"/>
          <w:sz w:val="22"/>
          <w:szCs w:val="22"/>
        </w:rPr>
        <w:t xml:space="preserve">  •  Tuppence: Platform introduction currency</w:t>
      </w:r>
    </w:p>
    <w:p>
      <w:pPr>
        <w:spacing w:after="40" w:before="40"/>
      </w:pPr>
      <w:r>
        <w:rPr>
          <w:color w:val="1B2A4A"/>
          <w:sz w:val="22"/>
          <w:szCs w:val="22"/>
        </w:rPr>
        <w:t xml:space="preserve">  •  Introduction: A buyer-initiated contact request, paid in Tuppence</w:t>
      </w:r>
    </w:p>
    <w:p>
      <w:pPr>
        <w:spacing w:after="40" w:before="40"/>
      </w:pPr>
      <w:r>
        <w:rPr>
          <w:color w:val="1B2A4A"/>
          <w:sz w:val="22"/>
          <w:szCs w:val="22"/>
        </w:rPr>
        <w:t xml:space="preserve">  •  Trust Score: Composite seller reputation metric (0–100), server-computed</w:t>
      </w:r>
    </w:p>
    <w:p>
      <w:pPr>
        <w:spacing w:after="40" w:before="40"/>
      </w:pPr>
      <w:r>
        <w:rPr>
          <w:color w:val="1B2A4A"/>
          <w:sz w:val="22"/>
          <w:szCs w:val="22"/>
        </w:rPr>
        <w:t xml:space="preserve">  •  Founding Seller: Member of the initial 60-seller cohort for a given city</w:t>
      </w:r>
    </w:p>
    <w:p>
      <w:pPr>
        <w:spacing w:after="40" w:before="40"/>
      </w:pPr>
      <w:r>
        <w:rPr>
          <w:color w:val="1B2A4A"/>
          <w:sz w:val="22"/>
          <w:szCs w:val="22"/>
        </w:rPr>
        <w:t xml:space="preserve">  •  CityLauncher: Recruitment microsite for seller onboarding by city</w:t>
      </w:r>
    </w:p>
    <w:p>
      <w:pPr>
        <w:spacing w:after="160" w:before="400"/>
        <w:jc w:val="left"/>
      </w:pPr>
      <w:r>
        <w:rPr>
          <w:b/>
          <w:bCs/>
          <w:color w:val="1B2A4A"/>
          <w:sz w:val="36"/>
          <w:szCs w:val="36"/>
        </w:rPr>
        <w:t xml:space="preserve">10. Trademark &amp; Provisional Patent</w:t>
      </w:r>
    </w:p>
    <w:p>
      <w:pPr>
        <w:spacing w:after="120" w:before="280"/>
      </w:pPr>
      <w:r>
        <w:rPr>
          <w:b/>
          <w:bCs/>
          <w:color w:val="1B2A4A"/>
          <w:sz w:val="28"/>
          <w:szCs w:val="28"/>
        </w:rPr>
        <w:t xml:space="preserve">10.1 Trademark Filing — CIPRO</w:t>
      </w:r>
    </w:p>
    <w:p>
      <w:pPr>
        <w:spacing w:after="80" w:before="80"/>
      </w:pPr>
      <w:r>
        <w:rPr>
          <w:color w:val="1B2A4A"/>
          <w:sz w:val="22"/>
          <w:szCs w:val="22"/>
        </w:rPr>
        <w:t xml:space="preserve">TrustSquare™ to be filed at CIPRO under Nice Classification:</w:t>
      </w:r>
    </w:p>
    <w:p>
      <w:pPr>
        <w:spacing w:after="40" w:before="40"/>
      </w:pPr>
      <w:r>
        <w:rPr>
          <w:color w:val="1B2A4A"/>
          <w:sz w:val="22"/>
          <w:szCs w:val="22"/>
        </w:rPr>
        <w:t xml:space="preserve">  •  Class 35: Advertising; business management; business administration; online marketplace services</w:t>
      </w:r>
    </w:p>
    <w:p>
      <w:pPr>
        <w:spacing w:after="40" w:before="40"/>
      </w:pPr>
      <w:r>
        <w:rPr>
          <w:color w:val="1B2A4A"/>
          <w:sz w:val="22"/>
          <w:szCs w:val="22"/>
        </w:rPr>
        <w:t xml:space="preserve">  •  Class 36: Financial services; electronic payment services; digital currency exchange</w:t>
      </w:r>
    </w:p>
    <w:p>
      <w:pPr>
        <w:spacing w:after="40" w:before="40"/>
      </w:pPr>
      <w:r>
        <w:rPr>
          <w:color w:val="1B2A4A"/>
          <w:sz w:val="22"/>
          <w:szCs w:val="22"/>
        </w:rPr>
        <w:t xml:space="preserve">  •  Class 42: Scientific and technological services; software as a service; platform as a service</w:t>
      </w:r>
    </w:p>
    <w:p>
      <w:pPr>
        <w:spacing w:after="80" w:before="80"/>
      </w:pPr>
      <w:r>
        <w:rPr>
          <w:color w:val="1B2A4A"/>
          <w:sz w:val="22"/>
          <w:szCs w:val="22"/>
        </w:rPr>
        <w:t xml:space="preserve">Madrid Protocol filing to follow within 12 months for international coverage (UK, EU, USA, Kenya, Nigeria).</w:t>
      </w:r>
    </w:p>
    <w:p>
      <w:pPr>
        <w:spacing w:after="120" w:before="280"/>
      </w:pPr>
      <w:r>
        <w:rPr>
          <w:b/>
          <w:bCs/>
          <w:color w:val="1B2A4A"/>
          <w:sz w:val="28"/>
          <w:szCs w:val="28"/>
        </w:rPr>
        <w:t xml:space="preserve">10.2 Provisional Patent — Filing Instructions</w:t>
      </w:r>
    </w:p>
    <w:p>
      <w:pPr>
        <w:spacing w:after="80" w:before="80"/>
      </w:pPr>
      <w:r>
        <w:rPr>
          <w:color w:val="1B2A4A"/>
          <w:sz w:val="22"/>
          <w:szCs w:val="22"/>
        </w:rPr>
        <w:t xml:space="preserve">File with CIPRO on Day 0 (launch day). The 7 claims in Section 4 form the basis of the provisional application. A PCT application should be filed within 12 months to lock international priority date.</w:t>
      </w:r>
    </w:p>
    <w:p>
      <w:pPr>
        <w:spacing w:after="120" w:before="280"/>
      </w:pPr>
      <w:r>
        <w:rPr>
          <w:b/>
          <w:bCs/>
          <w:color w:val="1B2A4A"/>
          <w:sz w:val="28"/>
          <w:szCs w:val="28"/>
        </w:rPr>
        <w:t xml:space="preserve">10.3 Independent Timestamp Authorities</w:t>
      </w:r>
    </w:p>
    <w:p>
      <w:pPr>
        <w:spacing w:after="80" w:before="80"/>
      </w:pPr>
      <w:r>
        <w:rPr>
          <w:color w:val="1B2A4A"/>
          <w:sz w:val="22"/>
          <w:szCs w:val="22"/>
        </w:rPr>
        <w:t xml:space="preserve">Five independent authorities are used to establish an unambiguous prior art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2A4A" w:val="solid"/>
          </w:tcPr>
          <w:p>
            <w:r>
              <w:rPr>
                <w:b/>
                <w:bCs/>
                <w:color w:val="FFFFFF"/>
                <w:sz w:val="19"/>
                <w:szCs w:val="19"/>
              </w:rPr>
              <w:t xml:space="preserve">#</w:t>
            </w:r>
          </w:p>
        </w:tc>
        <w:tc>
          <w:tcPr>
            <w:shd w:fill="1B2A4A" w:val="solid"/>
          </w:tcPr>
          <w:p>
            <w:r>
              <w:rPr>
                <w:b/>
                <w:bCs/>
                <w:color w:val="FFFFFF"/>
                <w:sz w:val="19"/>
                <w:szCs w:val="19"/>
              </w:rPr>
              <w:t xml:space="preserve">Authority</w:t>
            </w:r>
          </w:p>
        </w:tc>
        <w:tc>
          <w:tcPr>
            <w:shd w:fill="1B2A4A" w:val="solid"/>
          </w:tcPr>
          <w:p>
            <w:r>
              <w:rPr>
                <w:b/>
                <w:bCs/>
                <w:color w:val="FFFFFF"/>
                <w:sz w:val="19"/>
                <w:szCs w:val="19"/>
              </w:rPr>
              <w:t xml:space="preserve">Method</w:t>
            </w:r>
          </w:p>
        </w:tc>
        <w:tc>
          <w:tcPr>
            <w:shd w:fill="1B2A4A" w:val="solid"/>
          </w:tcPr>
          <w:p>
            <w:r>
              <w:rPr>
                <w:b/>
                <w:bCs/>
                <w:color w:val="FFFFFF"/>
                <w:sz w:val="19"/>
                <w:szCs w:val="19"/>
              </w:rPr>
              <w:t xml:space="preserve">Timing</w:t>
            </w:r>
          </w:p>
        </w:tc>
      </w:tr>
      <w:tr>
        <w:tc>
          <w:tcPr>
            <w:shd w:fill="F5F3EE" w:val="solid"/>
          </w:tcPr>
          <w:p>
            <w:r>
              <w:rPr>
                <w:color w:val="1B2A4A"/>
                <w:sz w:val="19"/>
                <w:szCs w:val="19"/>
              </w:rPr>
              <w:t xml:space="preserve">1</w:t>
            </w:r>
          </w:p>
        </w:tc>
        <w:tc>
          <w:tcPr>
            <w:shd w:fill="F5F3EE" w:val="solid"/>
          </w:tcPr>
          <w:p>
            <w:r>
              <w:rPr>
                <w:color w:val="1B2A4A"/>
                <w:sz w:val="19"/>
                <w:szCs w:val="19"/>
              </w:rPr>
              <w:t xml:space="preserve">Internet Archive</w:t>
            </w:r>
          </w:p>
        </w:tc>
        <w:tc>
          <w:tcPr>
            <w:shd w:fill="F5F3EE" w:val="solid"/>
          </w:tcPr>
          <w:p>
            <w:r>
              <w:rPr>
                <w:color w:val="1B2A4A"/>
                <w:sz w:val="19"/>
                <w:szCs w:val="19"/>
              </w:rPr>
              <w:t xml:space="preserve">Submit trustsquare.co to archive.org/save on launch day</w:t>
            </w:r>
          </w:p>
        </w:tc>
        <w:tc>
          <w:tcPr>
            <w:shd w:fill="F5F3EE" w:val="solid"/>
          </w:tcPr>
          <w:p>
            <w:r>
              <w:rPr>
                <w:color w:val="1B2A4A"/>
                <w:sz w:val="19"/>
                <w:szCs w:val="19"/>
              </w:rPr>
              <w:t xml:space="preserve">Day 0</w:t>
            </w:r>
          </w:p>
        </w:tc>
      </w:tr>
      <w:tr>
        <w:tc>
          <w:tcPr>
            <w:shd w:fill="FFFFFF" w:val="solid"/>
          </w:tcPr>
          <w:p>
            <w:r>
              <w:rPr>
                <w:color w:val="1B2A4A"/>
                <w:sz w:val="19"/>
                <w:szCs w:val="19"/>
              </w:rPr>
              <w:t xml:space="preserve">2</w:t>
            </w:r>
          </w:p>
        </w:tc>
        <w:tc>
          <w:tcPr>
            <w:shd w:fill="FFFFFF" w:val="solid"/>
          </w:tcPr>
          <w:p>
            <w:r>
              <w:rPr>
                <w:color w:val="1B2A4A"/>
                <w:sz w:val="19"/>
                <w:szCs w:val="19"/>
              </w:rPr>
              <w:t xml:space="preserve">IP.com Prior Art DB</w:t>
            </w:r>
          </w:p>
        </w:tc>
        <w:tc>
          <w:tcPr>
            <w:shd w:fill="FFFFFF" w:val="solid"/>
          </w:tcPr>
          <w:p>
            <w:r>
              <w:rPr>
                <w:color w:val="1B2A4A"/>
                <w:sz w:val="19"/>
                <w:szCs w:val="19"/>
              </w:rPr>
              <w:t xml:space="preserve">Upload this document to ip.com prior art database</w:t>
            </w:r>
          </w:p>
        </w:tc>
        <w:tc>
          <w:tcPr>
            <w:shd w:fill="FFFFFF" w:val="solid"/>
          </w:tcPr>
          <w:p>
            <w:r>
              <w:rPr>
                <w:color w:val="1B2A4A"/>
                <w:sz w:val="19"/>
                <w:szCs w:val="19"/>
              </w:rPr>
              <w:t xml:space="preserve">Day 0</w:t>
            </w:r>
          </w:p>
        </w:tc>
      </w:tr>
      <w:tr>
        <w:tc>
          <w:tcPr>
            <w:shd w:fill="F5F3EE" w:val="solid"/>
          </w:tcPr>
          <w:p>
            <w:r>
              <w:rPr>
                <w:color w:val="1B2A4A"/>
                <w:sz w:val="19"/>
                <w:szCs w:val="19"/>
              </w:rPr>
              <w:t xml:space="preserve">3</w:t>
            </w:r>
          </w:p>
        </w:tc>
        <w:tc>
          <w:tcPr>
            <w:shd w:fill="F5F3EE" w:val="solid"/>
          </w:tcPr>
          <w:p>
            <w:r>
              <w:rPr>
                <w:color w:val="1B2A4A"/>
                <w:sz w:val="19"/>
                <w:szCs w:val="19"/>
              </w:rPr>
              <w:t xml:space="preserve">CIPRO Provisional</w:t>
            </w:r>
          </w:p>
        </w:tc>
        <w:tc>
          <w:tcPr>
            <w:shd w:fill="F5F3EE" w:val="solid"/>
          </w:tcPr>
          <w:p>
            <w:r>
              <w:rPr>
                <w:color w:val="1B2A4A"/>
                <w:sz w:val="19"/>
                <w:szCs w:val="19"/>
              </w:rPr>
              <w:t xml:space="preserve">File provisional application — filing receipt is dated proof</w:t>
            </w:r>
          </w:p>
        </w:tc>
        <w:tc>
          <w:tcPr>
            <w:shd w:fill="F5F3EE" w:val="solid"/>
          </w:tcPr>
          <w:p>
            <w:r>
              <w:rPr>
                <w:color w:val="1B2A4A"/>
                <w:sz w:val="19"/>
                <w:szCs w:val="19"/>
              </w:rPr>
              <w:t xml:space="preserve">Day 0</w:t>
            </w:r>
          </w:p>
        </w:tc>
      </w:tr>
      <w:tr>
        <w:tc>
          <w:tcPr>
            <w:shd w:fill="FFFFFF" w:val="solid"/>
          </w:tcPr>
          <w:p>
            <w:r>
              <w:rPr>
                <w:color w:val="1B2A4A"/>
                <w:sz w:val="19"/>
                <w:szCs w:val="19"/>
              </w:rPr>
              <w:t xml:space="preserve">4</w:t>
            </w:r>
          </w:p>
        </w:tc>
        <w:tc>
          <w:tcPr>
            <w:shd w:fill="FFFFFF" w:val="solid"/>
          </w:tcPr>
          <w:p>
            <w:r>
              <w:rPr>
                <w:color w:val="1B2A4A"/>
                <w:sz w:val="19"/>
                <w:szCs w:val="19"/>
              </w:rPr>
              <w:t xml:space="preserve">Email Distribution</w:t>
            </w:r>
          </w:p>
        </w:tc>
        <w:tc>
          <w:tcPr>
            <w:shd w:fill="FFFFFF" w:val="solid"/>
          </w:tcPr>
          <w:p>
            <w:r>
              <w:rPr>
                <w:color w:val="1B2A4A"/>
                <w:sz w:val="19"/>
                <w:szCs w:val="19"/>
              </w:rPr>
              <w:t xml:space="preserve">5-wave launch emails sent to 500+ agents; email server timestamps are evidence</w:t>
            </w:r>
          </w:p>
        </w:tc>
        <w:tc>
          <w:tcPr>
            <w:shd w:fill="FFFFFF" w:val="solid"/>
          </w:tcPr>
          <w:p>
            <w:r>
              <w:rPr>
                <w:color w:val="1B2A4A"/>
                <w:sz w:val="19"/>
                <w:szCs w:val="19"/>
              </w:rPr>
              <w:t xml:space="preserve">Day 0–5</w:t>
            </w:r>
          </w:p>
        </w:tc>
      </w:tr>
      <w:tr>
        <w:tc>
          <w:tcPr>
            <w:shd w:fill="F5F3EE" w:val="solid"/>
          </w:tcPr>
          <w:p>
            <w:r>
              <w:rPr>
                <w:color w:val="1B2A4A"/>
                <w:sz w:val="19"/>
                <w:szCs w:val="19"/>
              </w:rPr>
              <w:t xml:space="preserve">5</w:t>
            </w:r>
          </w:p>
        </w:tc>
        <w:tc>
          <w:tcPr>
            <w:shd w:fill="F5F3EE" w:val="solid"/>
          </w:tcPr>
          <w:p>
            <w:r>
              <w:rPr>
                <w:color w:val="1B2A4A"/>
                <w:sz w:val="19"/>
                <w:szCs w:val="19"/>
              </w:rPr>
              <w:t xml:space="preserve">SHA-256 Blockchain</w:t>
            </w:r>
          </w:p>
        </w:tc>
        <w:tc>
          <w:tcPr>
            <w:shd w:fill="F5F3EE" w:val="solid"/>
          </w:tcPr>
          <w:p>
            <w:r>
              <w:rPr>
                <w:color w:val="1B2A4A"/>
                <w:sz w:val="19"/>
                <w:szCs w:val="19"/>
              </w:rPr>
              <w:t xml:space="preserve">Hash this document and publish hash to a public blockchain (e.g. OpenTimestamps)</w:t>
            </w:r>
          </w:p>
        </w:tc>
        <w:tc>
          <w:tcPr>
            <w:shd w:fill="F5F3EE" w:val="solid"/>
          </w:tcPr>
          <w:p>
            <w:r>
              <w:rPr>
                <w:color w:val="1B2A4A"/>
                <w:sz w:val="19"/>
                <w:szCs w:val="19"/>
              </w:rPr>
              <w:t xml:space="preserve">Day 0</w:t>
            </w:r>
          </w:p>
        </w:tc>
      </w:tr>
    </w:tbl>
    <w:p>
      <w:pPr>
        <w:spacing w:after="160" w:before="400"/>
        <w:jc w:val="left"/>
      </w:pPr>
      <w:r>
        <w:rPr>
          <w:b/>
          <w:bCs/>
          <w:color w:val="1B2A4A"/>
          <w:sz w:val="36"/>
          <w:szCs w:val="36"/>
        </w:rPr>
        <w:t xml:space="preserve">11. Financial Services Resilience</w:t>
      </w:r>
    </w:p>
    <w:p>
      <w:pPr>
        <w:spacing w:after="120" w:before="280"/>
      </w:pPr>
      <w:r>
        <w:rPr>
          <w:b/>
          <w:bCs/>
          <w:color w:val="1B2A4A"/>
          <w:sz w:val="28"/>
          <w:szCs w:val="28"/>
        </w:rPr>
        <w:t xml:space="preserve">11.1 Dual-Entity Structure</w:t>
      </w:r>
    </w:p>
    <w:p>
      <w:pPr>
        <w:spacing w:after="80" w:before="80"/>
      </w:pPr>
      <w:r>
        <w:rPr>
          <w:color w:val="1B2A4A"/>
          <w:sz w:val="22"/>
          <w:szCs w:val="22"/>
        </w:rPr>
        <w:t xml:space="preserve">SA Entity (CIPC registered): holds operating contracts, employs staff, processes ZA payments via Paystack/PayFast, subject to SA corporate tax.</w:t>
      </w:r>
    </w:p>
    <w:p>
      <w:pPr>
        <w:spacing w:after="80" w:before="80"/>
      </w:pPr>
      <w:r>
        <w:rPr>
          <w:color w:val="1B2A4A"/>
          <w:sz w:val="22"/>
          <w:szCs w:val="22"/>
        </w:rPr>
        <w:t xml:space="preserve">International Entity (Isle of Man or Singapore): holds IP (trademarks, provisional patent), receives international licensing fees from SA entity, processes international payments via Stripe + Paddle MoR.</w:t>
      </w:r>
    </w:p>
    <w:p>
      <w:pPr>
        <w:spacing w:after="80" w:before="80"/>
      </w:pPr>
      <w:r>
        <w:rPr>
          <w:color w:val="1B2A4A"/>
          <w:sz w:val="22"/>
          <w:szCs w:val="22"/>
        </w:rPr>
        <w:t xml:space="preserve">This structure ensures: (1) IP is protected from SA litigation risk; (2) international VAT/tax compliance is handled by Paddle MoR; (3) the platform can operate from any jurisdiction if one entity is disrupted.</w:t>
      </w:r>
    </w:p>
    <w:p>
      <w:pPr>
        <w:spacing w:after="120" w:before="280"/>
      </w:pPr>
      <w:r>
        <w:rPr>
          <w:b/>
          <w:bCs/>
          <w:color w:val="1B2A4A"/>
          <w:sz w:val="28"/>
          <w:szCs w:val="28"/>
        </w:rPr>
        <w:t xml:space="preserve">11.2 Payment Processor Redundancy</w:t>
      </w:r>
    </w:p>
    <w:p>
      <w:pPr>
        <w:spacing w:after="40" w:before="40"/>
      </w:pPr>
      <w:r>
        <w:rPr>
          <w:color w:val="1B2A4A"/>
          <w:sz w:val="22"/>
          <w:szCs w:val="22"/>
        </w:rPr>
        <w:t xml:space="preserve">  •  Primary ZA: Paystack</w:t>
      </w:r>
    </w:p>
    <w:p>
      <w:pPr>
        <w:spacing w:after="40" w:before="40"/>
      </w:pPr>
      <w:r>
        <w:rPr>
          <w:color w:val="1B2A4A"/>
          <w:sz w:val="22"/>
          <w:szCs w:val="22"/>
        </w:rPr>
        <w:t xml:space="preserve">  •  Backup ZA: PayFast</w:t>
      </w:r>
    </w:p>
    <w:p>
      <w:pPr>
        <w:spacing w:after="40" w:before="40"/>
      </w:pPr>
      <w:r>
        <w:rPr>
          <w:color w:val="1B2A4A"/>
          <w:sz w:val="22"/>
          <w:szCs w:val="22"/>
        </w:rPr>
        <w:t xml:space="preserve">  •  Primary International: Stripe</w:t>
      </w:r>
    </w:p>
    <w:p>
      <w:pPr>
        <w:spacing w:after="40" w:before="40"/>
      </w:pPr>
      <w:r>
        <w:rPr>
          <w:color w:val="1B2A4A"/>
          <w:sz w:val="22"/>
          <w:szCs w:val="22"/>
        </w:rPr>
        <w:t xml:space="preserve">  •  VAT/MoR International: Paddle</w:t>
      </w:r>
    </w:p>
    <w:p>
      <w:pPr>
        <w:spacing w:after="80" w:before="80"/>
      </w:pPr>
      <w:r>
        <w:rPr>
          <w:color w:val="1B2A4A"/>
          <w:sz w:val="22"/>
          <w:szCs w:val="22"/>
        </w:rPr>
        <w:t xml:space="preserve">No single payment processor failure can take the platform offline. All processors are integrated at the API level with feature flags to enable/disable each.</w:t>
      </w:r>
    </w:p>
    <w:p>
      <w:pPr>
        <w:spacing w:after="160" w:before="400"/>
        <w:jc w:val="left"/>
      </w:pPr>
      <w:r>
        <w:rPr>
          <w:b/>
          <w:bCs/>
          <w:color w:val="1B2A4A"/>
          <w:sz w:val="36"/>
          <w:szCs w:val="36"/>
        </w:rPr>
        <w:t xml:space="preserve">12. Legal Notice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8B0000" w:val="solid"/>
          </w:tcPr>
          <w:p>
            <w:pPr>
              <w:spacing w:after="40" w:before="80"/>
            </w:pPr>
            <w:r>
              <w:rPr>
                <w:b/>
                <w:bCs/>
                <w:caps/>
                <w:color w:val="FFFFFF"/>
                <w:sz w:val="22"/>
                <w:szCs w:val="22"/>
              </w:rPr>
              <w:t xml:space="preserve">LEGAL NOTICE</w:t>
            </w:r>
          </w:p>
          <w:p>
            <w:pPr>
              <w:spacing w:after="80" w:before="40"/>
            </w:pPr>
            <w:r>
              <w:rPr>
                <w:color w:val="F5F3EE"/>
                <w:sz w:val="19"/>
                <w:szCs w:val="19"/>
              </w:rPr>
              <w:t xml:space="preserve">This document constitutes a prior art disclosure under the Patent Cooperation Treaty and South African Patents Act 57 of 1978. The systems, methods, schemas, and business mechanisms described herein are the original work of TrustSquare (Pty) Ltd. Any implementation of the described claims without licence constitutes infringement. Filing date is established by the five independent timestamp authorities listed in Section 10.3.</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2026-04-25T19:35:46.108Z</dcterms:created>
  <dcterms:modified xsi:type="dcterms:W3CDTF">2026-04-25T19:35:46.108Z</dcterms:modified>
</cp:coreProperties>
</file>

<file path=docProps/custom.xml><?xml version="1.0" encoding="utf-8"?>
<Properties xmlns="http://schemas.openxmlformats.org/officeDocument/2006/custom-properties" xmlns:vt="http://schemas.openxmlformats.org/officeDocument/2006/docPropsVTypes"/>
</file>