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40"/>
          <w:szCs w:val="40"/>
        </w:rPr>
        <w:t xml:space="preserve">TrustSquare</w:t>
      </w:r>
    </w:p>
    <w:p>
      <w:pPr>
        <w:spacing w:after="40"/>
      </w:pPr>
      <w:r>
        <w:rPr>
          <w:b/>
          <w:bCs/>
          <w:color w:val="2E75B6"/>
          <w:sz w:val="26"/>
          <w:szCs w:val="26"/>
        </w:rPr>
        <w:t xml:space="preserve">Post-Audit Roadmap — toward an AI co-controlled business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Drafted 31 May 2026 · sequence + dependency view · companion to the Commercial Readiness Audit</w:t>
      </w:r>
    </w:p>
    <w:p>
      <w:pPr>
        <w:pStyle w:val="Heading1"/>
      </w:pPr>
      <w:r>
        <w:t xml:space="preserve">How to read this</w:t>
      </w:r>
    </w:p>
    <w:p>
      <w:pPr>
        <w:spacing w:after="120"/>
      </w:pPr>
      <w:r>
        <w:t xml:space="preserve">Every item is tagged </w:t>
      </w:r>
      <w:r>
        <w:rPr>
          <w:b/>
          <w:bCs/>
          <w:color w:val="1E7A46"/>
        </w:rPr>
        <w:t xml:space="preserve">Build-bound</w:t>
      </w:r>
      <w:r>
        <w:t xml:space="preserve"> (Claude/engineering throughput compresses it — buying capacity moves the date) or </w:t>
      </w:r>
      <w:r>
        <w:rPr>
          <w:b/>
          <w:bCs/>
          <w:color w:val="B26A00"/>
        </w:rPr>
        <w:t xml:space="preserve">External-bound</w:t>
      </w:r>
      <w:r>
        <w:t xml:space="preserve"> (gated by a third party — a lawyer, a registrar, a payment processor; no amount of build capacity moves it). The two run on separate clocks and must not pace each other.</w:t>
      </w:r>
    </w:p>
    <w:p>
      <w:pPr>
        <w:spacing w:after="120"/>
      </w:pPr>
      <w:r>
        <w:rPr>
          <w:b/>
          <w:bCs/>
        </w:rPr>
        <w:t xml:space="preserve">Governing principle held throughout: </w:t>
      </w:r>
      <w:r>
        <w:t xml:space="preserve">AI does the work and recommends; a human holds every irreversible lever — money out, infrastructure down, legal commitments. “Co-controlled,” not AI-controlled. The orchestrator is a company eye on the tools, not a replacement for oversight.</w:t>
      </w:r>
    </w:p>
    <w:p>
      <w:pPr>
        <w:pStyle w:val="Heading1"/>
      </w:pPr>
      <w:r>
        <w:t xml:space="preserve">Track A — Forensic audit (in progress, nearly closed)</w:t>
      </w:r>
    </w:p>
    <w:p>
      <w:pPr>
        <w:spacing w:after="120"/>
      </w:pPr>
      <w:r>
        <w:rPr>
          <w:b/>
          <w:bCs/>
        </w:rPr>
        <w:t xml:space="preserve">Bound: </w:t>
      </w:r>
      <w:r>
        <w:rPr>
          <w:b/>
          <w:bCs/>
          <w:color w:val="1E7A46"/>
        </w:rPr>
        <w:t xml:space="preserve">Build-bound. </w:t>
      </w:r>
      <w:r>
        <w:t xml:space="preserve">Phase 1 + O2 are DONE and live. Phase 2 is the next open work and what the scheduled 6-hour runner is now burning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86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Bound 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Cost guardrails — real-token costing (C2), AI3/AI4 spend logging (C3), hard daily ceiling refusing @429 (C1), dashboard cost panel (C4)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Build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S1/S2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Remove guessable API-key default (fail-closed); pull auth/database/storage/payments into git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Build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Auto-deploy sync of the four backend modules; caught + fixed live server still on the vulnerable auth.py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Build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Security hardening — header-only API key (S3), CORS lock-down (S4), production-gate test endpoints (S5), input-validation sweep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Build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Resilience &amp; scale — Postgres migration path (P1), local no-SSH smoke (O1), deploy minification (P2)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Build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Correctness sweep — audit remaining AI-number features for fabrication (D1), money-path E2E test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Build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Open</w:t>
            </w:r>
          </w:p>
        </w:tc>
      </w:tr>
    </w:tbl>
    <w:p>
      <w:pPr>
        <w:pStyle w:val="Heading1"/>
      </w:pPr>
      <w:r>
        <w:t xml:space="preserve">Track B — External blockers (parallel, off the build critical path)</w:t>
      </w:r>
    </w:p>
    <w:p>
      <w:pPr>
        <w:spacing w:after="120"/>
      </w:pPr>
      <w:r>
        <w:rPr>
          <w:b/>
          <w:bCs/>
        </w:rPr>
        <w:t xml:space="preserve">Bound: </w:t>
      </w:r>
      <w:r>
        <w:rPr>
          <w:b/>
          <w:bCs/>
          <w:color w:val="B26A00"/>
        </w:rPr>
        <w:t xml:space="preserve">External-bound. </w:t>
      </w:r>
      <w:r>
        <w:t xml:space="preserve">These gate LAUNCH, not build. Keep them moving in parallel; do not let them set the pace of Tracks A or C. Capacity cannot compress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86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Bound 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Patent attorney — IP Brief / Patent Strategy refresh handed to counsel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26A00"/>
              </w:rPr>
              <w:t xml:space="preserve">External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EULA legal review — SA attorney fills [COUNSEL REQUIRED]; Privacy Policy; POPIA consent timing; FSCA Tuppence guidance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26A00"/>
              </w:rPr>
              <w:t xml:space="preserve">External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Stripe — account/onboarding for live payments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26A00"/>
              </w:rPr>
              <w:t xml:space="preserve">External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X3b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Paystack live mode — gated on CIPC; noted as self-resolving before live testing, not a pacing blocker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26A00"/>
              </w:rPr>
              <w:t xml:space="preserve">External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Company registration number into EULA + footer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26A00"/>
              </w:rPr>
              <w:t xml:space="preserve">External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Open</w:t>
            </w:r>
          </w:p>
        </w:tc>
      </w:tr>
    </w:tbl>
    <w:p>
      <w:pPr>
        <w:pStyle w:val="Heading1"/>
      </w:pPr>
      <w:r>
        <w:t xml:space="preserve">Track C — Agent roadmap (after the audit; the heart of the model)</w:t>
      </w:r>
    </w:p>
    <w:p>
      <w:pPr>
        <w:spacing w:after="120"/>
      </w:pPr>
      <w:r>
        <w:t xml:space="preserve">Slotted in dependency order. Each builds on the one before; skipping ahead automates immaturity. Build-heavy — this is where a focused capacity sprint pays for itself.</w:t>
      </w:r>
    </w:p>
    <w:p>
      <w:pPr>
        <w:pStyle w:val="Heading2"/>
      </w:pPr>
      <w:r>
        <w:t xml:space="preserve">C1 · Resilience, redundancy &amp; the cell architecture</w:t>
      </w:r>
    </w:p>
    <w:p>
      <w:pPr>
        <w:spacing w:after="120"/>
      </w:pPr>
      <w:r>
        <w:rPr>
          <w:b/>
          <w:bCs/>
          <w:color w:val="1E7A46"/>
        </w:rPr>
        <w:t xml:space="preserve">Build-bound. </w:t>
      </w:r>
      <w:r>
        <w:t xml:space="preserve">Foundation — everything else stands on it. Build </w:t>
      </w:r>
      <w:r>
        <w:rPr>
          <w:b/>
          <w:bCs/>
        </w:rPr>
        <w:t xml:space="preserve">robustness before scale</w:t>
      </w:r>
      <w:r>
        <w:t xml:space="preserve"> at current volume (pre-launch, ~65 listings).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Regional app cells: small, identical app instances per country/region — fault-isolated and clean for data residency (POPIA/GDPR).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a SINGLE primary database + hot replica/failover — gives redundancy without the distributed-consistency problem.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Defer per-cell databases + cross-region sync until a real trigger forces it (one region's load, or a hard data-residency law). That is the genuinely hard part; don't pay for it speculatively.</w:t>
      </w:r>
    </w:p>
    <w:p>
      <w:pPr>
        <w:spacing w:after="120"/>
      </w:pPr>
      <w:r>
        <w:rPr>
          <w:b/>
          <w:bCs/>
          <w:color w:val="B26A00"/>
        </w:rPr>
        <w:t xml:space="preserve">Honest caveat: </w:t>
      </w:r>
      <w:r>
        <w:t xml:space="preserve">a shared DB means the DB is still the single point of failure and the scaling ceiling — the replica mitigates failure, not the ceiling. Per-cell DBs solve scale but introduce consistency risk (same actor in two cells, split-brain writes). Sequence accordingly.</w:t>
      </w:r>
    </w:p>
    <w:p>
      <w:pPr>
        <w:pStyle w:val="Heading2"/>
      </w:pPr>
      <w:r>
        <w:t xml:space="preserve">C2 · Local agent workers — maintenance, complaints, expansion, marketing/auto city rollout</w:t>
      </w:r>
    </w:p>
    <w:p>
      <w:pPr>
        <w:spacing w:after="120"/>
      </w:pPr>
      <w:r>
        <w:rPr>
          <w:b/>
          <w:bCs/>
          <w:color w:val="1E7A46"/>
        </w:rPr>
        <w:t xml:space="preserve">Build-bound. </w:t>
      </w:r>
      <w:r>
        <w:t xml:space="preserve">Lowest-risk new agents — contained blast radius. Natural extension of CityLauncher and the scheduled-runner pattern already proven.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Reuse the existing spine: server as source of truth, scheduled runners, write-back. Each worker observes + acts within a narrow, reversible scope.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 city rollout = CityLauncher generalised; marketing/complaints/maintenance are bounded, low-stakes if they err.</w:t>
      </w:r>
    </w:p>
    <w:p>
      <w:pPr>
        <w:pStyle w:val="Heading2"/>
      </w:pPr>
      <w:r>
        <w:t xml:space="preserve">C3 · Security agent — observe first, act later</w:t>
      </w:r>
    </w:p>
    <w:p>
      <w:pPr>
        <w:spacing w:after="120"/>
      </w:pPr>
      <w:r>
        <w:rPr>
          <w:b/>
          <w:bCs/>
          <w:color w:val="1E7A46"/>
        </w:rPr>
        <w:t xml:space="preserve">Build-bound (monitoring) </w:t>
      </w:r>
      <w:r>
        <w:t xml:space="preserve"> + </w:t>
      </w:r>
      <w:r>
        <w:rPr>
          <w:b/>
          <w:bCs/>
          <w:color w:val="B26A00"/>
        </w:rPr>
        <w:t xml:space="preserve">staged (active defence).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NOW — the eyes: integrity fingerprinting of the FEA at fixed AND secret breakpoints (size/checksum at known offsets) to detect tampering; monitor for virus/phishing/mass-attack signals.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 — the hands: autonomous block/firewall/take-offline actions can take your OWN site down on a false positive and become a high-value target if compromised. Restrict to a tightly-scoped, reversible, PRE-APPROVED action set with human/override on anything irreversible.</w:t>
      </w:r>
    </w:p>
    <w:p>
      <w:pPr>
        <w:spacing w:after="120"/>
      </w:pPr>
      <w:r>
        <w:rPr>
          <w:b/>
          <w:bCs/>
        </w:rPr>
        <w:t xml:space="preserve">Principle: </w:t>
      </w:r>
      <w:r>
        <w:t xml:space="preserve">same as the audit's architecture decision — observe-and-alert and recommend; never free-form auto-act on production infrastructure.</w:t>
      </w:r>
    </w:p>
    <w:p>
      <w:pPr>
        <w:pStyle w:val="Heading2"/>
      </w:pPr>
      <w:r>
        <w:t xml:space="preserve">C4 · Orchestrator (CEO / COO / CFO / CTO)</w:t>
      </w:r>
    </w:p>
    <w:p>
      <w:pPr>
        <w:spacing w:after="120"/>
      </w:pPr>
      <w:r>
        <w:rPr>
          <w:b/>
          <w:bCs/>
          <w:color w:val="1E7A46"/>
        </w:rPr>
        <w:t xml:space="preserve">Build-bound, but staged LAST. </w:t>
      </w:r>
      <w:r>
        <w:t xml:space="preserve">Not because the tech isn't ready — because an orchestrator is only as good as the agents under it and the guardrails beneath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Prerequisite: C1–C3 reliable and logged in production for a sustained period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 spend/action ceilings on every subordinate (the C1 cost-ceiling pattern generalises to action ceilings); clear human override at every 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Role: concentrate and surface oversight so a human can judge without drowning in detail — a company eye ON the tools, not dependence on tools alone.</w:t>
      </w:r>
    </w:p>
    <w:p>
      <w:pPr>
        <w:pStyle w:val="Heading2"/>
      </w:pPr>
      <w:r>
        <w:t xml:space="preserve">C5 · Solar Council — resume planning</w:t>
      </w:r>
    </w:p>
    <w:p>
      <w:pPr>
        <w:spacing w:after="120"/>
      </w:pPr>
      <w:r>
        <w:rPr>
          <w:b/>
          <w:bCs/>
          <w:color w:val="1E7A46"/>
        </w:rPr>
        <w:t xml:space="preserve">Build-bound (planning). </w:t>
      </w:r>
      <w:r>
        <w:t xml:space="preserve">Three-year-old concept, paused deliberately when the technology wasn’t ready — that judgment is exactly what makes this roadmap credible. Resume as planning once C1–C3 are real; let maturity, not capacity, set its pace.</w:t>
      </w:r>
    </w:p>
    <w:p>
      <w:pPr>
        <w:pStyle w:val="Heading1"/>
      </w:pPr>
      <w:r>
        <w:t xml:space="preserve">The capacity decision (Max 20× sprint)</w:t>
      </w:r>
    </w:p>
    <w:p>
      <w:pPr>
        <w:spacing w:after="120"/>
      </w:pPr>
      <w:r>
        <w:t xml:space="preserve">Tracks A and C are heavily </w:t>
      </w:r>
      <w:r>
        <w:rPr>
          <w:b/>
          <w:bCs/>
          <w:color w:val="1E7A46"/>
        </w:rPr>
        <w:t xml:space="preserve">build-bound</w:t>
      </w:r>
      <w:r>
        <w:t xml:space="preserve"> — weeks of real engineering that throughput directly compresses. That justifies a focused 2–3 month Max 20× sprint as a </w:t>
      </w:r>
      <w:r>
        <w:rPr>
          <w:b/>
          <w:bCs/>
        </w:rPr>
        <w:t xml:space="preserve">build-velocity lever for the agent roadmap</w:t>
      </w:r>
      <w:r>
        <w:t xml:space="preserve"> — NOT as a launch lever (launch is gated by Track B, which capacity cannot move).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Spend the sprint on: C1 (resilience/cells), C2 (worker agents), and the monitoring half of C3.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rush C3's active-defence or C4 the orchestrator just because capacity exists — they want guardrails and maturity more than speed.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Track B in parallel the whole time, or the build races ahead and then sits idle waiting on attorney / registration / Stripe.</w:t>
      </w:r>
    </w:p>
    <w:p>
      <w:pPr>
        <w:spacing w:after="120"/>
      </w:pPr>
      <w:r>
        <w:rPr>
          <w:b/>
          <w:bCs/>
        </w:rPr>
        <w:t xml:space="preserve">Bottom line: </w:t>
      </w:r>
      <w:r>
        <w:t xml:space="preserve">the date moves in when you (a) fix a real target against this sequence, (b) clear Track B on its own clock, and (c) apply the capacity sprint to the build-bound agent work. The subscription compresses the build; it cannot compress the lawyers.</w:t>
      </w:r>
    </w:p>
    <w:sectPr>
      <w:footerReference w:type="default" r:id="rId7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TrustSquare — Post-Audit Roadmap to AI Co-Controlled Operation · </w:t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2026-05-31T18:48:31.788Z</dcterms:created>
  <dcterms:modified xsi:type="dcterms:W3CDTF">2026-05-31T18:48:31.789Z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