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2BD434A8" w:rsidR="00C85EFC" w:rsidRPr="00444A8B" w:rsidRDefault="00444A8B" w:rsidP="00391DE6">
      <w:pPr>
        <w:pStyle w:val="Textoindependiente"/>
        <w:spacing w:line="360" w:lineRule="auto"/>
        <w:jc w:val="center"/>
        <w:rPr>
          <w:rFonts w:ascii="Times New Roman" w:hAnsi="Times New Roman" w:cs="Times New Roman"/>
        </w:rPr>
      </w:pPr>
      <w:r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703088B8"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as a result of the 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4AFE3F2C" w14:textId="10F9ED7D" w:rsidR="001D1686" w:rsidRPr="00ED52FA" w:rsidRDefault="001D1686">
      <w:pPr>
        <w:rPr>
          <w:rFonts w:ascii="Times New Roman" w:hAnsi="Times New Roman" w:cs="Times New Roman"/>
          <w:sz w:val="24"/>
          <w:szCs w:val="24"/>
          <w:lang w:val="en-US"/>
        </w:rPr>
      </w:pPr>
      <w:r w:rsidRPr="00ED52FA">
        <w:rPr>
          <w:rFonts w:ascii="Times New Roman" w:hAnsi="Times New Roman" w:cs="Times New Roman"/>
          <w:sz w:val="24"/>
          <w:szCs w:val="24"/>
          <w:lang w:val="en-US"/>
        </w:rPr>
        <w:br w:type="page"/>
      </w:r>
    </w:p>
    <w:p w14:paraId="16CA6A1B" w14:textId="3043ECCD"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w:t>
      </w:r>
      <w:r w:rsidR="009518A3">
        <w:rPr>
          <w:rFonts w:ascii="Times New Roman" w:hAnsi="Times New Roman" w:cs="Times New Roman"/>
          <w:sz w:val="24"/>
          <w:szCs w:val="24"/>
          <w:lang w:val="es-CO"/>
        </w:rPr>
        <w:t>C</w:t>
      </w:r>
      <w:r w:rsidRPr="00384E7E">
        <w:rPr>
          <w:rFonts w:ascii="Times New Roman" w:hAnsi="Times New Roman" w:cs="Times New Roman"/>
          <w:sz w:val="24"/>
          <w:szCs w:val="24"/>
          <w:lang w:val="es-CO"/>
        </w:rPr>
        <w:t>I</w:t>
      </w:r>
      <w:r w:rsidR="009518A3">
        <w:rPr>
          <w:rFonts w:ascii="Times New Roman" w:hAnsi="Times New Roman" w:cs="Times New Roman"/>
          <w:sz w:val="24"/>
          <w:szCs w:val="24"/>
          <w:lang w:val="es-CO"/>
        </w:rPr>
        <w:t>Ó</w:t>
      </w:r>
      <w:r w:rsidRPr="00384E7E">
        <w:rPr>
          <w:rFonts w:ascii="Times New Roman" w:hAnsi="Times New Roman" w:cs="Times New Roman"/>
          <w:sz w:val="24"/>
          <w:szCs w:val="24"/>
          <w:lang w:val="es-CO"/>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41587743"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D403B3" w:rsidRPr="00D403B3">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0EA9C6B0"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D403B3" w:rsidRPr="00D403B3">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2A30F051"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D403B3" w:rsidRPr="00D403B3">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D403B3" w:rsidRPr="00D403B3">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D403B3" w:rsidRPr="00D403B3">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D403B3" w:rsidRPr="00D403B3">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565E92E7"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D403B3">
            <w:rPr>
              <w:rFonts w:ascii="Times New Roman" w:hAnsi="Times New Roman" w:cs="Times New Roman"/>
              <w:noProof/>
              <w:lang w:val="es-CO"/>
            </w:rPr>
            <w:t xml:space="preserve"> </w:t>
          </w:r>
          <w:r w:rsidR="00D403B3" w:rsidRPr="00D403B3">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D403B3" w:rsidRPr="00D403B3">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D403B3" w:rsidRPr="00D403B3">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D403B3" w:rsidRPr="00D403B3">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D403B3" w:rsidRPr="00D403B3">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1C2E087B"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D403B3" w:rsidRPr="00D403B3">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D403B3" w:rsidRPr="00D403B3">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D403B3" w:rsidRPr="00D403B3">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D403B3" w:rsidRPr="00D403B3">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D403B3" w:rsidRPr="00D403B3">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D403B3" w:rsidRPr="00D403B3">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w:t>
      </w:r>
      <w:r w:rsidR="008B7B5A">
        <w:rPr>
          <w:rFonts w:ascii="Times New Roman" w:hAnsi="Times New Roman" w:cs="Times New Roman"/>
          <w:lang w:val="es-CO"/>
        </w:rPr>
        <w:t xml:space="preserve">cuando </w:t>
      </w:r>
      <w:r w:rsidR="008B7B5A">
        <w:rPr>
          <w:rFonts w:ascii="Times New Roman" w:hAnsi="Times New Roman" w:cs="Times New Roman"/>
          <w:lang w:val="es-CO"/>
        </w:rPr>
        <w:t>dicha estrategia</w:t>
      </w:r>
      <w:r w:rsidR="008B7B5A">
        <w:rPr>
          <w:rFonts w:ascii="Times New Roman" w:hAnsi="Times New Roman" w:cs="Times New Roman"/>
          <w:lang w:val="es-CO"/>
        </w:rPr>
        <w:t xml:space="preserve"> incluye compras y ventas de títulos de largo</w:t>
      </w:r>
      <w:r w:rsidR="008B7B5A">
        <w:rPr>
          <w:rFonts w:ascii="Times New Roman" w:hAnsi="Times New Roman" w:cs="Times New Roman"/>
          <w:lang w:val="es-CO"/>
        </w:rPr>
        <w:t xml:space="preserve">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D403B3" w:rsidRPr="00D403B3">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43F9A5A5"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D403B3" w:rsidRPr="00D403B3">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w:t>
      </w:r>
      <w:r w:rsidR="00D403B3">
        <w:rPr>
          <w:rFonts w:ascii="Times New Roman" w:hAnsi="Times New Roman" w:cs="Times New Roman"/>
          <w:lang w:val="es-CO"/>
        </w:rPr>
        <w:t>.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D403B3" w:rsidRPr="00D403B3">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Máquinas de Soporte Vectorial</w:t>
      </w:r>
      <w:r w:rsidR="002C4D65">
        <w:rPr>
          <w:rFonts w:ascii="Times New Roman" w:hAnsi="Times New Roman" w:cs="Times New Roman"/>
          <w:lang w:val="es-CO"/>
        </w:rPr>
        <w:t xml:space="preserve">,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45879743"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w:t>
      </w:r>
      <w:r>
        <w:rPr>
          <w:rFonts w:ascii="Times New Roman" w:hAnsi="Times New Roman" w:cs="Times New Roman"/>
          <w:b/>
          <w:bCs/>
          <w:lang w:val="es-CO"/>
        </w:rPr>
        <w:t xml:space="preserve">Aprendizaje por Refuerzo: Teoría y Aplicación </w:t>
      </w:r>
    </w:p>
    <w:p w14:paraId="5B56C98B" w14:textId="77777777" w:rsidR="00BE3BC8" w:rsidRDefault="00BE3BC8" w:rsidP="00C8625E">
      <w:pPr>
        <w:pStyle w:val="Textoindependiente"/>
        <w:spacing w:before="195" w:line="360" w:lineRule="auto"/>
        <w:ind w:right="124"/>
        <w:jc w:val="both"/>
        <w:rPr>
          <w:rFonts w:ascii="Times New Roman" w:hAnsi="Times New Roman" w:cs="Times New Roman"/>
          <w:lang w:val="es-CO"/>
        </w:rPr>
      </w:pPr>
    </w:p>
    <w:p w14:paraId="580A125E" w14:textId="77777777" w:rsidR="00282A15" w:rsidRPr="00D403B3" w:rsidRDefault="00282A15" w:rsidP="00C8625E">
      <w:pPr>
        <w:pStyle w:val="Textoindependiente"/>
        <w:spacing w:before="195" w:line="360" w:lineRule="auto"/>
        <w:ind w:right="124"/>
        <w:jc w:val="both"/>
        <w:rPr>
          <w:rFonts w:ascii="Times New Roman" w:hAnsi="Times New Roman" w:cs="Times New Roman"/>
          <w:u w:val="single"/>
          <w:lang w:val="es-CO"/>
        </w:rPr>
      </w:pPr>
    </w:p>
    <w:p w14:paraId="64C0B286" w14:textId="77777777" w:rsidR="00282A15" w:rsidRPr="00D27799" w:rsidRDefault="00282A15" w:rsidP="00C8625E">
      <w:pPr>
        <w:pStyle w:val="Textoindependiente"/>
        <w:spacing w:before="195" w:line="360" w:lineRule="auto"/>
        <w:ind w:right="124"/>
        <w:jc w:val="both"/>
        <w:rPr>
          <w:rFonts w:ascii="Times New Roman" w:hAnsi="Times New Roman" w:cs="Times New Roman"/>
          <w:lang w:val="es-CO"/>
        </w:rPr>
      </w:pPr>
    </w:p>
    <w:p w14:paraId="73E0AB76" w14:textId="77777777" w:rsidR="00282A15" w:rsidRPr="00D27799" w:rsidRDefault="00282A15" w:rsidP="00C8625E">
      <w:pPr>
        <w:pStyle w:val="Textoindependiente"/>
        <w:spacing w:before="195" w:line="360" w:lineRule="auto"/>
        <w:ind w:right="124"/>
        <w:jc w:val="both"/>
        <w:rPr>
          <w:rFonts w:ascii="Times New Roman" w:hAnsi="Times New Roman" w:cs="Times New Roman"/>
          <w:lang w:val="es-CO"/>
        </w:rPr>
      </w:pPr>
    </w:p>
    <w:p w14:paraId="72BD2FBC" w14:textId="77777777" w:rsidR="00282A15" w:rsidRPr="00D27799" w:rsidRDefault="00282A15" w:rsidP="00C8625E">
      <w:pPr>
        <w:pStyle w:val="Textoindependiente"/>
        <w:spacing w:before="195" w:line="360" w:lineRule="auto"/>
        <w:ind w:right="124"/>
        <w:jc w:val="both"/>
        <w:rPr>
          <w:rFonts w:ascii="Times New Roman" w:hAnsi="Times New Roman" w:cs="Times New Roman"/>
          <w:lang w:val="es-CO"/>
        </w:rPr>
      </w:pPr>
    </w:p>
    <w:p w14:paraId="15BAA162" w14:textId="0D54546E"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la misma época, fueron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\cite{b24} demuestran cómo un algoritmo RL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0BAB7DC" w14:textId="0BBF9A0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En la última década, con la aparición y auge del aprendizaje profundo, aparecieron también nuevos enfoques DLR, con nuevas aplicaciones en diferentes mercados. Los autores escribieron especialmente sobre aplicaciones bursátiles con diferentes enfoques, donde las estrategias de negociación de acciones fueron el centro de esos estudios</w:t>
      </w:r>
      <w:r>
        <w:rPr>
          <w:rFonts w:ascii="Times New Roman" w:hAnsi="Times New Roman" w:cs="Times New Roman"/>
          <w:lang w:val="es-CO"/>
        </w:rPr>
        <w:t xml:space="preserve"> </w:t>
      </w:r>
      <w:r w:rsidRPr="00A65B6F">
        <w:rPr>
          <w:rFonts w:ascii="Times New Roman" w:hAnsi="Times New Roman" w:cs="Times New Roman"/>
          <w:lang w:val="es-CO"/>
        </w:rPr>
        <w:t>en los que el rendimiento mejoró con respecto a los métodos de RL y redes neuronales básicas y los métodos convencionales de comprar y mantener.</w:t>
      </w:r>
      <w:r>
        <w:rPr>
          <w:rFonts w:ascii="Times New Roman" w:hAnsi="Times New Roman" w:cs="Times New Roman"/>
          <w:lang w:val="es-CO"/>
        </w:rPr>
        <w:t xml:space="preserve"> </w:t>
      </w:r>
      <w:r w:rsidRPr="00A65B6F">
        <w:rPr>
          <w:rFonts w:ascii="Times New Roman" w:hAnsi="Times New Roman" w:cs="Times New Roman"/>
          <w:lang w:val="es-CO"/>
        </w:rPr>
        <w:t>Yang et al. \cite{b20} propusieron un conjunto de diferentes métodos de aprendizaje por refuerzo, como A2C, PPO y DDPG. En la figura \</w:t>
      </w:r>
      <w:proofErr w:type="spellStart"/>
      <w:r w:rsidRPr="00A65B6F">
        <w:rPr>
          <w:rFonts w:ascii="Times New Roman" w:hAnsi="Times New Roman" w:cs="Times New Roman"/>
          <w:lang w:val="es-CO"/>
        </w:rPr>
        <w:t>ref</w:t>
      </w:r>
      <w:proofErr w:type="spellEnd"/>
      <w:r w:rsidRPr="00A65B6F">
        <w:rPr>
          <w:rFonts w:ascii="Times New Roman" w:hAnsi="Times New Roman" w:cs="Times New Roman"/>
          <w:lang w:val="es-CO"/>
        </w:rPr>
        <w:t>{</w:t>
      </w:r>
      <w:proofErr w:type="gramStart"/>
      <w:r w:rsidRPr="00A65B6F">
        <w:rPr>
          <w:rFonts w:ascii="Times New Roman" w:hAnsi="Times New Roman" w:cs="Times New Roman"/>
          <w:lang w:val="es-CO"/>
        </w:rPr>
        <w:t>fig:f</w:t>
      </w:r>
      <w:proofErr w:type="gramEnd"/>
      <w:r w:rsidRPr="00A65B6F">
        <w:rPr>
          <w:rFonts w:ascii="Times New Roman" w:hAnsi="Times New Roman" w:cs="Times New Roman"/>
          <w:lang w:val="es-CO"/>
        </w:rPr>
        <w:t>5} se muestra un esquema del conjunto. La estrategia de ensemble funcionó y obtuvo buenos resultados incluso durante la crisis del covid-19.</w:t>
      </w:r>
    </w:p>
    <w:p w14:paraId="7102B938" w14:textId="6AE99141" w:rsidR="00C8625E"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Asimismo, aparecieron aplicaciones de DRL para el mercado de divisas \cite{b18} e incluso para la negociación en mercados energéticos \cite{b19}, dos mercados financieros con grandes diferencias respecto al ampliamente estudiado mercado bursátil.</w:t>
      </w:r>
    </w:p>
    <w:p w14:paraId="602C656E" w14:textId="514671B3" w:rsidR="00A65B6F" w:rsidRPr="00A65B6F"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Por otra parte, el aprendizaje automático para aplicaciones de renta fija nunca se ha centrado en el comercio o la gestión y optimización de carteras, y existe un vacío en la literatura sobre estos temas. La atención se centró en el modelado de la curva de rendimiento, la predicción de su forma, los movimientos y, en algunos casos, la próxima crisis financiera, utilizando máquinas de vectores soporte y análisis de componentes principales, entre otros métodos. \cite{b23}. El aprendizaje por refuerzo no ha sido estudiado en profundidad bajo la óptica de la Renta Fija, por ello, Nunes \cite{b21} intentó llenar ese vacío en su tesis doctoral, y encontró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 pueden entenderse como instrumentos de renta no fija y las estrategias de cartera de renta fija se describen en la </w:t>
      </w:r>
      <w:r w:rsidRPr="00A65B6F">
        <w:rPr>
          <w:rFonts w:ascii="Times New Roman" w:hAnsi="Times New Roman" w:cs="Times New Roman"/>
          <w:lang w:val="es-CO"/>
        </w:rPr>
        <w:lastRenderedPageBreak/>
        <w:t>sección 3.2.</w:t>
      </w:r>
    </w:p>
    <w:p w14:paraId="3F1DF851" w14:textId="77777777" w:rsidR="00C8625E" w:rsidRPr="00A65B6F" w:rsidRDefault="00C8625E" w:rsidP="00C85EFC">
      <w:pPr>
        <w:pStyle w:val="Textoindependiente"/>
        <w:spacing w:before="195" w:line="360" w:lineRule="auto"/>
        <w:ind w:left="120" w:right="124"/>
        <w:jc w:val="both"/>
        <w:rPr>
          <w:rFonts w:ascii="Times New Roman" w:hAnsi="Times New Roman" w:cs="Times New Roman"/>
          <w:b/>
          <w:bCs/>
          <w:lang w:val="es-CO"/>
        </w:rPr>
      </w:pPr>
    </w:p>
    <w:p w14:paraId="72839EDF" w14:textId="05719235"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one of the seminal studies of empirical works about the yield curve, </w:t>
      </w:r>
      <w:hyperlink w:anchor="_bookmark18" w:history="1">
        <w:r w:rsidRPr="00A15AAB">
          <w:rPr>
            <w:rFonts w:ascii="Times New Roman" w:hAnsi="Times New Roman" w:cs="Times New Roman"/>
          </w:rPr>
          <w:t>Hamburger and Platt (</w:t>
        </w:r>
      </w:hyperlink>
      <w:r w:rsidRPr="00A15AAB">
        <w:rPr>
          <w:rFonts w:ascii="Times New Roman" w:hAnsi="Times New Roman" w:cs="Times New Roman"/>
        </w:rPr>
        <w:t>1975</w:t>
      </w:r>
      <w:hyperlink w:anchor="_bookmark18" w:history="1">
        <w:r w:rsidRPr="00A15AAB">
          <w:rPr>
            <w:rFonts w:ascii="Times New Roman" w:hAnsi="Times New Roman" w:cs="Times New Roman"/>
          </w:rPr>
          <w:t xml:space="preserve">) </w:t>
        </w:r>
      </w:hyperlink>
      <w:r w:rsidRPr="00A15AAB">
        <w:rPr>
          <w:rFonts w:ascii="Times New Roman" w:hAnsi="Times New Roman" w:cs="Times New Roman"/>
        </w:rPr>
        <w:t xml:space="preserve">study the short term of the U.S. Treasury bill curve. The authors find that the three-month forward rate for the 1960s is a poor predictor of the future long-term spot rate. On the other hand, </w:t>
      </w:r>
      <w:proofErr w:type="spellStart"/>
      <w:r w:rsidRPr="00A15AAB">
        <w:rPr>
          <w:rFonts w:ascii="Times New Roman" w:hAnsi="Times New Roman" w:cs="Times New Roman"/>
        </w:rPr>
        <w:t>F</w:t>
      </w:r>
      <w:hyperlink w:anchor="_bookmark14"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1984</w:t>
      </w:r>
      <w:hyperlink w:anchor="_bookmark14" w:history="1">
        <w:r w:rsidRPr="00A15AAB">
          <w:rPr>
            <w:rFonts w:ascii="Times New Roman" w:hAnsi="Times New Roman" w:cs="Times New Roman"/>
          </w:rPr>
          <w:t xml:space="preserve">) </w:t>
        </w:r>
      </w:hyperlink>
      <w:r w:rsidRPr="00A15AAB">
        <w:rPr>
          <w:rFonts w:ascii="Times New Roman" w:hAnsi="Times New Roman" w:cs="Times New Roman"/>
        </w:rPr>
        <w:t xml:space="preserve">verifies the hypothesis of pure expectations and finds that the forward rate is not an unbiased estimator of the future spot rate, therefore, rejecting the hypothesis. Later, </w:t>
      </w:r>
      <w:proofErr w:type="spellStart"/>
      <w:r w:rsidRPr="00A15AAB">
        <w:rPr>
          <w:rFonts w:ascii="Times New Roman" w:hAnsi="Times New Roman" w:cs="Times New Roman"/>
        </w:rPr>
        <w:t>F</w:t>
      </w:r>
      <w:hyperlink w:anchor="_bookmark15" w:history="1">
        <w:r w:rsidRPr="00A15AAB">
          <w:rPr>
            <w:rFonts w:ascii="Times New Roman" w:hAnsi="Times New Roman" w:cs="Times New Roman"/>
          </w:rPr>
          <w:t>ama</w:t>
        </w:r>
        <w:proofErr w:type="spellEnd"/>
        <w:r w:rsidRPr="00A15AAB">
          <w:rPr>
            <w:rFonts w:ascii="Times New Roman" w:hAnsi="Times New Roman" w:cs="Times New Roman"/>
          </w:rPr>
          <w:t xml:space="preserve"> (</w:t>
        </w:r>
      </w:hyperlink>
      <w:r w:rsidRPr="00A15AAB">
        <w:rPr>
          <w:rFonts w:ascii="Times New Roman" w:hAnsi="Times New Roman" w:cs="Times New Roman"/>
        </w:rPr>
        <w:t>2006</w:t>
      </w:r>
      <w:hyperlink w:anchor="_bookmark15" w:history="1">
        <w:r w:rsidRPr="00A15AAB">
          <w:rPr>
            <w:rFonts w:ascii="Times New Roman" w:hAnsi="Times New Roman" w:cs="Times New Roman"/>
          </w:rPr>
          <w:t xml:space="preserve">) </w:t>
        </w:r>
      </w:hyperlink>
      <w:r w:rsidRPr="00A15AAB">
        <w:rPr>
          <w:rFonts w:ascii="Times New Roman" w:hAnsi="Times New Roman" w:cs="Times New Roman"/>
        </w:rPr>
        <w:t xml:space="preserve">finds evidence of the predictive capacity of the forward rate over the future spot rate for horizons greater than one year in the U.S. Treasury bond market for the 1952 – 2004 period. </w:t>
      </w:r>
      <w:hyperlink w:anchor="_bookmark11" w:history="1">
        <w:r w:rsidRPr="00A15AAB">
          <w:rPr>
            <w:rFonts w:ascii="Times New Roman" w:hAnsi="Times New Roman" w:cs="Times New Roman"/>
          </w:rPr>
          <w:t>Campbell and Shiller</w:t>
        </w:r>
      </w:hyperlink>
      <w:r w:rsidRPr="00A15AAB">
        <w:rPr>
          <w:rFonts w:ascii="Times New Roman" w:hAnsi="Times New Roman" w:cs="Times New Roman"/>
        </w:rPr>
        <w:t xml:space="preserve"> (</w:t>
      </w:r>
      <w:hyperlink w:anchor="_bookmark11" w:history="1">
        <w:r w:rsidRPr="00A15AAB">
          <w:rPr>
            <w:rFonts w:ascii="Times New Roman" w:hAnsi="Times New Roman" w:cs="Times New Roman"/>
          </w:rPr>
          <w:t>1991</w:t>
        </w:r>
      </w:hyperlink>
      <w:r w:rsidRPr="00A15AAB">
        <w:rPr>
          <w:rFonts w:ascii="Times New Roman" w:hAnsi="Times New Roman" w:cs="Times New Roman"/>
        </w:rPr>
        <w:t xml:space="preserve">) argue that the yield spread does not predict long-term interest rate movements in an accurate manner. Many authors have used different types of models and variables to explain the behavior of the future spot rates, e.g., </w:t>
      </w:r>
      <w:hyperlink w:anchor="_bookmark13" w:history="1">
        <w:proofErr w:type="spellStart"/>
        <w:r w:rsidRPr="00A15AAB">
          <w:rPr>
            <w:rFonts w:ascii="Times New Roman" w:hAnsi="Times New Roman" w:cs="Times New Roman"/>
          </w:rPr>
          <w:t>Dewachter</w:t>
        </w:r>
        <w:proofErr w:type="spellEnd"/>
        <w:r w:rsidRPr="00A15AAB">
          <w:rPr>
            <w:rFonts w:ascii="Times New Roman" w:hAnsi="Times New Roman" w:cs="Times New Roman"/>
          </w:rPr>
          <w:t xml:space="preserve"> et al. (</w:t>
        </w:r>
      </w:hyperlink>
      <w:r w:rsidRPr="00A15AAB">
        <w:rPr>
          <w:rFonts w:ascii="Times New Roman" w:hAnsi="Times New Roman" w:cs="Times New Roman"/>
        </w:rPr>
        <w:t>2014</w:t>
      </w:r>
      <w:hyperlink w:anchor="_bookmark13" w:history="1">
        <w:r w:rsidRPr="00A15AAB">
          <w:rPr>
            <w:rFonts w:ascii="Times New Roman" w:hAnsi="Times New Roman" w:cs="Times New Roman"/>
          </w:rPr>
          <w:t xml:space="preserve">) </w:t>
        </w:r>
      </w:hyperlink>
      <w:r w:rsidRPr="00A15AAB">
        <w:rPr>
          <w:rFonts w:ascii="Times New Roman" w:hAnsi="Times New Roman" w:cs="Times New Roman"/>
        </w:rPr>
        <w:t xml:space="preserve">employs macro-finance models to estimate the term premium dynamics. In this study we find that long-term bonds are affected by all macro shocks, </w:t>
      </w:r>
      <w:proofErr w:type="gramStart"/>
      <w:r w:rsidRPr="00A15AAB">
        <w:rPr>
          <w:rFonts w:ascii="Times New Roman" w:hAnsi="Times New Roman" w:cs="Times New Roman"/>
        </w:rPr>
        <w:t>in particular with</w:t>
      </w:r>
      <w:proofErr w:type="gramEnd"/>
      <w:r w:rsidRPr="00A15AAB">
        <w:rPr>
          <w:rFonts w:ascii="Times New Roman" w:hAnsi="Times New Roman" w:cs="Times New Roman"/>
        </w:rPr>
        <w:t xml:space="preserve"> long-run inflation shocks, and that movements in the term premium are associated with financial shocks. Y</w:t>
      </w:r>
      <w:hyperlink w:anchor="_bookmark25" w:history="1">
        <w:r w:rsidRPr="00A15AAB">
          <w:rPr>
            <w:rFonts w:ascii="Times New Roman" w:hAnsi="Times New Roman" w:cs="Times New Roman"/>
          </w:rPr>
          <w:t>un (</w:t>
        </w:r>
      </w:hyperlink>
      <w:r w:rsidRPr="00A15AAB">
        <w:rPr>
          <w:rFonts w:ascii="Times New Roman" w:hAnsi="Times New Roman" w:cs="Times New Roman"/>
        </w:rPr>
        <w:t>2019</w:t>
      </w:r>
      <w:hyperlink w:anchor="_bookmark25" w:history="1">
        <w:r w:rsidRPr="00A15AAB">
          <w:rPr>
            <w:rFonts w:ascii="Times New Roman" w:hAnsi="Times New Roman" w:cs="Times New Roman"/>
          </w:rPr>
          <w:t xml:space="preserve">) </w:t>
        </w:r>
      </w:hyperlink>
      <w:r w:rsidRPr="00A15AAB">
        <w:rPr>
          <w:rFonts w:ascii="Times New Roman" w:hAnsi="Times New Roman" w:cs="Times New Roman"/>
        </w:rPr>
        <w:t xml:space="preserve">investigates the liquidity premium for the Korean government bonds and finds that, similar to the U.S. bond market, the liquidity premium is affected by domestic expected inflation, but additionally, it is also affected by global liquidity factors such  as S&amp;P 500 option-implied volatility, bank capital flows, and the leverage of global banks. Furthermore, </w:t>
      </w:r>
      <w:hyperlink w:anchor="_bookmark10" w:history="1">
        <w:proofErr w:type="spellStart"/>
        <w:r w:rsidRPr="00A15AAB">
          <w:rPr>
            <w:rFonts w:ascii="Times New Roman" w:hAnsi="Times New Roman" w:cs="Times New Roman"/>
          </w:rPr>
          <w:t>Baele</w:t>
        </w:r>
        <w:proofErr w:type="spellEnd"/>
        <w:r w:rsidRPr="00A15AAB">
          <w:rPr>
            <w:rFonts w:ascii="Times New Roman" w:hAnsi="Times New Roman" w:cs="Times New Roman"/>
          </w:rPr>
          <w:t xml:space="preserve"> et al. (</w:t>
        </w:r>
      </w:hyperlink>
      <w:hyperlink w:anchor="_bookmark10" w:history="1">
        <w:r w:rsidRPr="00A15AAB">
          <w:rPr>
            <w:rFonts w:ascii="Times New Roman" w:hAnsi="Times New Roman" w:cs="Times New Roman"/>
          </w:rPr>
          <w:t xml:space="preserve">2010) </w:t>
        </w:r>
      </w:hyperlink>
      <w:r w:rsidRPr="00A15AAB">
        <w:rPr>
          <w:rFonts w:ascii="Times New Roman" w:hAnsi="Times New Roman" w:cs="Times New Roman"/>
        </w:rPr>
        <w:t>used a dynamic factor model, where stock and bond returns depend on economic state variables where additional to interest rate, inflation, output growth and cash flow growth, the model includes macro-economic uncertainty measures derived from survey data on inflation and GDP growth.</w:t>
      </w:r>
    </w:p>
    <w:p w14:paraId="3E72C9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the Colombian case, </w:t>
      </w:r>
      <w:hyperlink w:anchor="_bookmark23" w:history="1">
        <w:r w:rsidRPr="00A15AAB">
          <w:rPr>
            <w:rFonts w:ascii="Times New Roman" w:hAnsi="Times New Roman" w:cs="Times New Roman"/>
          </w:rPr>
          <w:t>Rey (</w:t>
        </w:r>
      </w:hyperlink>
      <w:r w:rsidRPr="00A15AAB">
        <w:rPr>
          <w:rFonts w:ascii="Times New Roman" w:hAnsi="Times New Roman" w:cs="Times New Roman"/>
        </w:rPr>
        <w:t>2</w:t>
      </w:r>
      <w:hyperlink w:anchor="_bookmark23" w:history="1">
        <w:r w:rsidRPr="00A15AAB">
          <w:rPr>
            <w:rFonts w:ascii="Times New Roman" w:hAnsi="Times New Roman" w:cs="Times New Roman"/>
          </w:rPr>
          <w:t xml:space="preserve">005) </w:t>
        </w:r>
      </w:hyperlink>
      <w:r w:rsidRPr="00A15AAB">
        <w:rPr>
          <w:rFonts w:ascii="Times New Roman" w:hAnsi="Times New Roman" w:cs="Times New Roman"/>
        </w:rPr>
        <w:t>found evidence against the hypothesis of pure expectations, using the TES</w:t>
      </w:r>
      <w:r w:rsidRPr="00384E7E">
        <w:rPr>
          <w:rStyle w:val="Refdenotaalpie"/>
          <w:rFonts w:ascii="Times New Roman" w:hAnsi="Times New Roman" w:cs="Times New Roman"/>
          <w:lang w:val="es-CO"/>
        </w:rPr>
        <w:footnoteReference w:id="4"/>
      </w:r>
      <w:r w:rsidRPr="00A15AAB">
        <w:rPr>
          <w:rFonts w:ascii="Times New Roman" w:hAnsi="Times New Roman" w:cs="Times New Roman"/>
        </w:rPr>
        <w:t xml:space="preserve"> (national government debt bonds) market data between 2000 </w:t>
      </w:r>
      <w:r w:rsidRPr="00A15AAB">
        <w:rPr>
          <w:rFonts w:ascii="Times New Roman" w:hAnsi="Times New Roman" w:cs="Times New Roman"/>
        </w:rPr>
        <w:lastRenderedPageBreak/>
        <w:t xml:space="preserve">and 2004. This theory is rejected for all periods except for 80 and 270 days. In another related study, </w:t>
      </w:r>
      <w:hyperlink w:anchor="_bookmark24" w:history="1">
        <w:r w:rsidRPr="00A15AAB">
          <w:rPr>
            <w:rFonts w:ascii="Times New Roman" w:hAnsi="Times New Roman" w:cs="Times New Roman"/>
          </w:rPr>
          <w:t>Rueda and Arango (</w:t>
        </w:r>
      </w:hyperlink>
      <w:r w:rsidRPr="00A15AAB">
        <w:rPr>
          <w:rFonts w:ascii="Times New Roman" w:hAnsi="Times New Roman" w:cs="Times New Roman"/>
        </w:rPr>
        <w:t>2008</w:t>
      </w:r>
      <w:hyperlink w:anchor="_bookmark24" w:history="1">
        <w:r w:rsidRPr="00A15AAB">
          <w:rPr>
            <w:rFonts w:ascii="Times New Roman" w:hAnsi="Times New Roman" w:cs="Times New Roman"/>
          </w:rPr>
          <w:t xml:space="preserve">) </w:t>
        </w:r>
      </w:hyperlink>
      <w:r w:rsidRPr="00A15AAB">
        <w:rPr>
          <w:rFonts w:ascii="Times New Roman" w:hAnsi="Times New Roman" w:cs="Times New Roman"/>
        </w:rPr>
        <w:t xml:space="preserve">find evidence in favor of the liquidity preference theory, based on </w:t>
      </w:r>
      <w:hyperlink w:anchor="_bookmark15" w:history="1">
        <w:proofErr w:type="spellStart"/>
        <w:r w:rsidRPr="00A15AAB">
          <w:rPr>
            <w:rFonts w:ascii="Times New Roman" w:hAnsi="Times New Roman" w:cs="Times New Roman"/>
          </w:rPr>
          <w:t>Fama</w:t>
        </w:r>
      </w:hyperlink>
      <w:r w:rsidRPr="00A15AAB">
        <w:rPr>
          <w:rFonts w:ascii="Times New Roman" w:hAnsi="Times New Roman" w:cs="Times New Roman"/>
        </w:rPr>
        <w:t>’s</w:t>
      </w:r>
      <w:proofErr w:type="spellEnd"/>
      <w:r w:rsidRPr="00A15AAB">
        <w:rPr>
          <w:rFonts w:ascii="Times New Roman" w:hAnsi="Times New Roman" w:cs="Times New Roman"/>
        </w:rPr>
        <w:t xml:space="preserve"> (</w:t>
      </w:r>
      <w:hyperlink w:anchor="_bookmark15" w:history="1">
        <w:r w:rsidRPr="00A15AAB">
          <w:rPr>
            <w:rFonts w:ascii="Times New Roman" w:hAnsi="Times New Roman" w:cs="Times New Roman"/>
          </w:rPr>
          <w:t>2006</w:t>
        </w:r>
      </w:hyperlink>
      <w:r w:rsidRPr="00A15AAB">
        <w:rPr>
          <w:rFonts w:ascii="Times New Roman" w:hAnsi="Times New Roman" w:cs="Times New Roman"/>
        </w:rPr>
        <w:t>) model. The authors also find that the forward rate contains information on the future trends of the spot rate given that for all terms without exception the forward rate is positive and statistically significant.</w:t>
      </w:r>
    </w:p>
    <w:p w14:paraId="5497AAE6"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b/>
          <w:bCs/>
          <w:lang w:val="es-CO"/>
        </w:rPr>
      </w:pPr>
      <w:r w:rsidRPr="00384E7E">
        <w:rPr>
          <w:rFonts w:ascii="Times New Roman" w:hAnsi="Times New Roman" w:cs="Times New Roman"/>
          <w:b/>
          <w:bCs/>
          <w:lang w:val="es-CO"/>
        </w:rPr>
        <w:t xml:space="preserve">2.2. </w:t>
      </w:r>
      <w:proofErr w:type="spellStart"/>
      <w:r w:rsidRPr="00384E7E">
        <w:rPr>
          <w:rFonts w:ascii="Times New Roman" w:hAnsi="Times New Roman" w:cs="Times New Roman"/>
          <w:b/>
          <w:bCs/>
          <w:lang w:val="es-CO"/>
        </w:rPr>
        <w:t>Riding</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the</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yield</w:t>
      </w:r>
      <w:proofErr w:type="spellEnd"/>
      <w:r w:rsidRPr="00384E7E">
        <w:rPr>
          <w:rFonts w:ascii="Times New Roman" w:hAnsi="Times New Roman" w:cs="Times New Roman"/>
          <w:b/>
          <w:bCs/>
          <w:lang w:val="es-CO"/>
        </w:rPr>
        <w:t xml:space="preserve"> curve</w:t>
      </w:r>
    </w:p>
    <w:p w14:paraId="598415B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We examine the application of machine learning algorithms with trading strategies on interest rates. Such strategies are very well-known in practices such as ‘riding the yield curve’. As </w:t>
      </w:r>
      <w:proofErr w:type="spellStart"/>
      <w:r w:rsidRPr="00A15AAB">
        <w:rPr>
          <w:rFonts w:ascii="Times New Roman" w:hAnsi="Times New Roman" w:cs="Times New Roman"/>
        </w:rPr>
        <w:t>Martellini</w:t>
      </w:r>
      <w:proofErr w:type="spellEnd"/>
      <w:r w:rsidRPr="00A15AAB">
        <w:rPr>
          <w:rFonts w:ascii="Times New Roman" w:hAnsi="Times New Roman" w:cs="Times New Roman"/>
        </w:rPr>
        <w:t xml:space="preserve"> et al. (2003) mention “Riding the yield curve is a technique that fixed-income portfolio managers traditionally use in order to enhance returns.” Several works have attempted to verify the efficacy of the strategy. For instance, </w:t>
      </w:r>
      <w:proofErr w:type="spellStart"/>
      <w:r w:rsidRPr="00A15AAB">
        <w:rPr>
          <w:rFonts w:ascii="Times New Roman" w:hAnsi="Times New Roman" w:cs="Times New Roman"/>
        </w:rPr>
        <w:t>Dyl</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Joehnk</w:t>
      </w:r>
      <w:proofErr w:type="spellEnd"/>
      <w:r w:rsidRPr="00A15AAB">
        <w:rPr>
          <w:rFonts w:ascii="Times New Roman" w:hAnsi="Times New Roman" w:cs="Times New Roman"/>
        </w:rPr>
        <w:t xml:space="preserve"> (1981) find that this strategy yields returns higher than short-term rates by employing US T-bill from 1970 to 1975. On the other hand, </w:t>
      </w:r>
      <w:proofErr w:type="gramStart"/>
      <w:r w:rsidRPr="00A15AAB">
        <w:rPr>
          <w:rFonts w:ascii="Times New Roman" w:hAnsi="Times New Roman" w:cs="Times New Roman"/>
        </w:rPr>
        <w:t>Chandy</w:t>
      </w:r>
      <w:proofErr w:type="gramEnd"/>
      <w:r w:rsidRPr="00A15AAB">
        <w:rPr>
          <w:rFonts w:ascii="Times New Roman" w:hAnsi="Times New Roman" w:cs="Times New Roman"/>
        </w:rPr>
        <w:t xml:space="preserve"> and Hsueh (1995) revealed that riding the yield curve is not profitable in the US market from 1981 to 1985. Moreover, Grieves and Marcus (1992) show that riding the yield curve stochastically dominates</w:t>
      </w:r>
      <w:r w:rsidRPr="00384E7E">
        <w:rPr>
          <w:rStyle w:val="Refdenotaalpie"/>
          <w:rFonts w:ascii="Times New Roman" w:hAnsi="Times New Roman" w:cs="Times New Roman"/>
          <w:lang w:val="es-CO"/>
        </w:rPr>
        <w:footnoteReference w:id="5"/>
      </w:r>
      <w:r w:rsidRPr="00A15AAB">
        <w:rPr>
          <w:rFonts w:ascii="Times New Roman" w:hAnsi="Times New Roman" w:cs="Times New Roman"/>
        </w:rPr>
        <w:t xml:space="preserve"> the buy-and-hold strategy during most of the 1979-1988 period, and similar results are found in Grieves et al. (1999). Other studies that find that the riding the yield curve strategy is more profitable than the buy-and-hold strategy are </w:t>
      </w: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(1997), </w:t>
      </w:r>
      <w:proofErr w:type="spellStart"/>
      <w:r w:rsidRPr="00A15AAB">
        <w:rPr>
          <w:rFonts w:ascii="Times New Roman" w:hAnsi="Times New Roman" w:cs="Times New Roman"/>
        </w:rPr>
        <w:t>Brieri</w:t>
      </w:r>
      <w:proofErr w:type="spellEnd"/>
      <w:r w:rsidRPr="00A15AAB">
        <w:rPr>
          <w:rFonts w:ascii="Times New Roman" w:hAnsi="Times New Roman" w:cs="Times New Roman"/>
        </w:rPr>
        <w:t xml:space="preserve"> and </w:t>
      </w:r>
      <w:proofErr w:type="spellStart"/>
      <w:r w:rsidRPr="00A15AAB">
        <w:rPr>
          <w:rFonts w:ascii="Times New Roman" w:hAnsi="Times New Roman" w:cs="Times New Roman"/>
        </w:rPr>
        <w:t>Chincarini</w:t>
      </w:r>
      <w:proofErr w:type="spellEnd"/>
      <w:r w:rsidRPr="00A15AAB">
        <w:rPr>
          <w:rFonts w:ascii="Times New Roman" w:hAnsi="Times New Roman" w:cs="Times New Roman"/>
        </w:rPr>
        <w:t xml:space="preserve"> (2005), Mercer et al. (2009), Whereas Ang et al. (1998) and Chua et al. (2005) find mixed results. From a mean-variance point of view, </w:t>
      </w:r>
      <w:proofErr w:type="gramStart"/>
      <w:r w:rsidRPr="00A15AAB">
        <w:rPr>
          <w:rFonts w:ascii="Times New Roman" w:hAnsi="Times New Roman" w:cs="Times New Roman"/>
        </w:rPr>
        <w:t>Galvani</w:t>
      </w:r>
      <w:proofErr w:type="gramEnd"/>
      <w:r w:rsidRPr="00A15AAB">
        <w:rPr>
          <w:rFonts w:ascii="Times New Roman" w:hAnsi="Times New Roman" w:cs="Times New Roman"/>
        </w:rPr>
        <w:t xml:space="preserve"> and Landon (2012) conclude that the strategy is ineffective only when involving long-term bond portfolios.</w:t>
      </w:r>
    </w:p>
    <w:p w14:paraId="3B41F75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2.3. Machine learning in interest rates</w:t>
      </w:r>
    </w:p>
    <w:p w14:paraId="6CBB2AC8"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Though there has been an increasing interest in machine learning applications in finance recently, few studies have been devoted to interest rate modelling. A first attempt of using machine learning techniques in interest rates is performed by </w:t>
      </w:r>
      <w:proofErr w:type="spellStart"/>
      <w:r w:rsidRPr="00A15AAB">
        <w:rPr>
          <w:rFonts w:ascii="Times New Roman" w:hAnsi="Times New Roman" w:cs="Times New Roman"/>
        </w:rPr>
        <w:t>Kanevski</w:t>
      </w:r>
      <w:proofErr w:type="spellEnd"/>
      <w:r w:rsidRPr="00A15AAB">
        <w:rPr>
          <w:rFonts w:ascii="Times New Roman" w:hAnsi="Times New Roman" w:cs="Times New Roman"/>
        </w:rPr>
        <w:t xml:space="preserve"> et al. (2010). The authors employ unsupervised (self-organizing </w:t>
      </w:r>
      <w:proofErr w:type="spellStart"/>
      <w:r w:rsidRPr="00A15AAB">
        <w:rPr>
          <w:rFonts w:ascii="Times New Roman" w:hAnsi="Times New Roman" w:cs="Times New Roman"/>
        </w:rPr>
        <w:t>Kohonen</w:t>
      </w:r>
      <w:proofErr w:type="spellEnd"/>
      <w:r w:rsidRPr="00A15AAB">
        <w:rPr>
          <w:rFonts w:ascii="Times New Roman" w:hAnsi="Times New Roman" w:cs="Times New Roman"/>
        </w:rPr>
        <w:t xml:space="preserve"> maps, Gaussian Mixtures) and supervised machine (multilayer perceptron) learning algorithms to model the Swiss franc </w:t>
      </w:r>
      <w:r w:rsidRPr="00A15AAB">
        <w:rPr>
          <w:rFonts w:ascii="Times New Roman" w:hAnsi="Times New Roman" w:cs="Times New Roman"/>
        </w:rPr>
        <w:lastRenderedPageBreak/>
        <w:t xml:space="preserve">interest rate curves. Then, </w:t>
      </w:r>
      <w:proofErr w:type="spellStart"/>
      <w:r w:rsidRPr="00A15AAB">
        <w:rPr>
          <w:rFonts w:ascii="Times New Roman" w:hAnsi="Times New Roman" w:cs="Times New Roman"/>
        </w:rPr>
        <w:t>Gogas</w:t>
      </w:r>
      <w:proofErr w:type="spellEnd"/>
      <w:r w:rsidRPr="00A15AAB">
        <w:rPr>
          <w:rFonts w:ascii="Times New Roman" w:hAnsi="Times New Roman" w:cs="Times New Roman"/>
        </w:rPr>
        <w:t xml:space="preserve"> et al. (2015) </w:t>
      </w:r>
      <w:proofErr w:type="gramStart"/>
      <w:r w:rsidRPr="00A15AAB">
        <w:rPr>
          <w:rFonts w:ascii="Times New Roman" w:hAnsi="Times New Roman" w:cs="Times New Roman"/>
        </w:rPr>
        <w:t>employ</w:t>
      </w:r>
      <w:proofErr w:type="gramEnd"/>
      <w:r w:rsidRPr="00A15AAB">
        <w:rPr>
          <w:rFonts w:ascii="Times New Roman" w:hAnsi="Times New Roman" w:cs="Times New Roman"/>
        </w:rPr>
        <w:t xml:space="preserve"> support vector machine (SVM) to classify recession forecasting by employing the U.S. yield curve.</w:t>
      </w:r>
    </w:p>
    <w:p w14:paraId="63653AD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However, since the salient work of </w:t>
      </w:r>
      <w:proofErr w:type="spellStart"/>
      <w:r w:rsidRPr="00A15AAB">
        <w:rPr>
          <w:rFonts w:ascii="Times New Roman" w:hAnsi="Times New Roman" w:cs="Times New Roman"/>
        </w:rPr>
        <w:t>Kondratyev</w:t>
      </w:r>
      <w:proofErr w:type="spellEnd"/>
      <w:r w:rsidRPr="00A15AAB">
        <w:rPr>
          <w:rFonts w:ascii="Times New Roman" w:hAnsi="Times New Roman" w:cs="Times New Roman"/>
        </w:rPr>
        <w:t xml:space="preserve"> (2018), practitioners and academics are eagerly investigating traditional and new machine learning algorithms to better forecast the term structure of interest rates. In his work, the author employs artificial neural networks (ANN) to examine the behavior of the term structure curve dynamics. The results show that ANN outperforms the most </w:t>
      </w:r>
      <w:proofErr w:type="gramStart"/>
      <w:r w:rsidRPr="00A15AAB">
        <w:rPr>
          <w:rFonts w:ascii="Times New Roman" w:hAnsi="Times New Roman" w:cs="Times New Roman"/>
        </w:rPr>
        <w:t>commonly-used</w:t>
      </w:r>
      <w:proofErr w:type="gramEnd"/>
      <w:r w:rsidRPr="00A15AAB">
        <w:rPr>
          <w:rFonts w:ascii="Times New Roman" w:hAnsi="Times New Roman" w:cs="Times New Roman"/>
        </w:rPr>
        <w:t xml:space="preserve"> tool in practice, the principal component analysis (PCA) on the validation dataset. Similar results are obtained by </w:t>
      </w:r>
      <w:proofErr w:type="spellStart"/>
      <w:r w:rsidRPr="00A15AAB">
        <w:rPr>
          <w:rFonts w:ascii="Times New Roman" w:hAnsi="Times New Roman" w:cs="Times New Roman"/>
        </w:rPr>
        <w:t>Chataigner</w:t>
      </w:r>
      <w:proofErr w:type="spellEnd"/>
      <w:r w:rsidRPr="00A15AAB">
        <w:rPr>
          <w:rFonts w:ascii="Times New Roman" w:hAnsi="Times New Roman" w:cs="Times New Roman"/>
        </w:rPr>
        <w:t xml:space="preserve"> et al. (2020), on at-the-money swaption surfaces, where PCA is not applicable to original data. Nunes et al. (2019) compare multilayer perceptron and linear regression to forecast the European yield curve. The authors find that the MLP with all relevant variables present the best results.</w:t>
      </w:r>
    </w:p>
    <w:p w14:paraId="3D8FDB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In a related work, Spears et al. (2021) use deep learning to model price change prediction of the Eurodollar Futures curve. Meanwhile, Kim (2021) uses several machine learning techniques (linear regression, multilayer perceptron, support vector machines, random forest, AdaBoost, and Gradient Boosting) to predict the spread of interest rates between two bonds with maturities of 3 and 10 years for the Korean treasury bonds. The results show that the AdaBoost algorithm outperformed other forecasting models. Bianchi et al. (2021) also examine several machine learning techniques (simple and penalized linear regressions, regression trees, random forest, neural networks) compared to the PCA as a benchmark to predict bond excess returns with accurate results according to the out-of-sample forecast indicators. A recent example of machine learning, more specifically deep learning, in mathematical finance is the work of </w:t>
      </w:r>
      <w:proofErr w:type="spellStart"/>
      <w:r w:rsidRPr="00A15AAB">
        <w:rPr>
          <w:rFonts w:ascii="Times New Roman" w:hAnsi="Times New Roman" w:cs="Times New Roman"/>
        </w:rPr>
        <w:t>Benth</w:t>
      </w:r>
      <w:proofErr w:type="spellEnd"/>
      <w:r w:rsidRPr="00A15AAB">
        <w:rPr>
          <w:rFonts w:ascii="Times New Roman" w:hAnsi="Times New Roman" w:cs="Times New Roman"/>
        </w:rPr>
        <w:t xml:space="preserve"> et al. (2021), where the authors employ deep learning to calibrate the Heath-</w:t>
      </w:r>
      <w:proofErr w:type="spellStart"/>
      <w:r w:rsidRPr="00A15AAB">
        <w:rPr>
          <w:rFonts w:ascii="Times New Roman" w:hAnsi="Times New Roman" w:cs="Times New Roman"/>
        </w:rPr>
        <w:t>Jarrow</w:t>
      </w:r>
      <w:proofErr w:type="spellEnd"/>
      <w:r w:rsidRPr="00A15AAB">
        <w:rPr>
          <w:rFonts w:ascii="Times New Roman" w:hAnsi="Times New Roman" w:cs="Times New Roman"/>
        </w:rPr>
        <w:t xml:space="preserve">-Morton (HJM) model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price European-style options obtaining accurate results.</w:t>
      </w:r>
    </w:p>
    <w:p w14:paraId="52EB0F7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Despite the good results concerning machine learning in the interest rate field shown in the literature, there is still more work to do in this arena. In fact, to the best of our knowledge, there are no works examining machine learning algorithms applied to trading strategies with the yield curve. Our work is intended to complement the already published outstanding works reviewed in this section.</w:t>
      </w:r>
    </w:p>
    <w:p w14:paraId="1EBDABCA"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6D74308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w:t>
      </w:r>
      <w:proofErr w:type="gramStart"/>
      <w:r w:rsidRPr="00A15AAB">
        <w:rPr>
          <w:rFonts w:ascii="Times New Roman" w:hAnsi="Times New Roman" w:cs="Times New Roman"/>
        </w:rPr>
        <w:t>is</w:t>
      </w:r>
      <w:proofErr w:type="gramEnd"/>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6"/>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w:t>
      </w:r>
      <w:proofErr w:type="gramStart"/>
      <w:r w:rsidRPr="00A15AAB">
        <w:rPr>
          <w:rFonts w:ascii="Times New Roman" w:hAnsi="Times New Roman" w:cs="Times New Roman"/>
          <w:sz w:val="20"/>
          <w:szCs w:val="20"/>
        </w:rPr>
        <w:t>of</w:t>
      </w:r>
      <w:proofErr w:type="gramEnd"/>
      <w:r w:rsidRPr="00A15AAB">
        <w:rPr>
          <w:rFonts w:ascii="Times New Roman" w:hAnsi="Times New Roman" w:cs="Times New Roman"/>
          <w:sz w:val="20"/>
          <w:szCs w:val="20"/>
        </w:rPr>
        <w:t xml:space="preserve">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 xml:space="preserve">Yields per Maturity and yield spreads to </w:t>
      </w:r>
      <w:proofErr w:type="gramStart"/>
      <w:r w:rsidRPr="00A15AAB">
        <w:rPr>
          <w:rFonts w:ascii="Times New Roman" w:eastAsia="Times New Roman" w:hAnsi="Times New Roman" w:cs="Times New Roman"/>
          <w:color w:val="292929"/>
          <w:spacing w:val="-1"/>
          <w:lang w:val="en-US" w:eastAsia="es-CO"/>
        </w:rPr>
        <w:t>3M</w:t>
      </w:r>
      <w:proofErr w:type="gramEnd"/>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 xml:space="preserve">Even though the process of the eigenvalue decomposition obtains the same number of vectors as the initial characteristic matrix, we only retained the three most important ones, as these represent 99.72% of the variance explained. </w:t>
      </w:r>
      <w:proofErr w:type="gramStart"/>
      <w:r w:rsidRPr="00A15AAB">
        <w:rPr>
          <w:rFonts w:ascii="Times New Roman" w:hAnsi="Times New Roman" w:cs="Times New Roman"/>
          <w:sz w:val="24"/>
          <w:szCs w:val="24"/>
          <w:lang w:val="en-US"/>
        </w:rPr>
        <w:t>As a consequence of</w:t>
      </w:r>
      <w:proofErr w:type="gramEnd"/>
      <w:r w:rsidRPr="00A15AAB">
        <w:rPr>
          <w:rFonts w:ascii="Times New Roman" w:hAnsi="Times New Roman" w:cs="Times New Roman"/>
          <w:sz w:val="24"/>
          <w:szCs w:val="24"/>
          <w:lang w:val="en-US"/>
        </w:rPr>
        <w:t xml:space="preserve">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 xml:space="preserve">ariance explained by the </w:t>
      </w:r>
      <w:proofErr w:type="gramStart"/>
      <w:r w:rsidRPr="00A15AAB">
        <w:rPr>
          <w:rFonts w:ascii="Times New Roman" w:eastAsia="Times New Roman" w:hAnsi="Times New Roman" w:cs="Times New Roman"/>
          <w:color w:val="292929"/>
          <w:spacing w:val="-1"/>
          <w:lang w:val="en-US" w:eastAsia="es-CO"/>
        </w:rPr>
        <w:t>Eigenvalues</w:t>
      </w:r>
      <w:proofErr w:type="gramEnd"/>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 xml:space="preserve">Behavior of the three principal components obtained by </w:t>
      </w:r>
      <w:proofErr w:type="gramStart"/>
      <w:r w:rsidR="002A166D" w:rsidRPr="00A15AAB">
        <w:rPr>
          <w:rFonts w:ascii="Times New Roman" w:eastAsia="Times New Roman" w:hAnsi="Times New Roman" w:cs="Times New Roman"/>
          <w:color w:val="292929"/>
          <w:spacing w:val="-1"/>
          <w:lang w:val="en-US" w:eastAsia="es-CO"/>
        </w:rPr>
        <w:t>PCA</w:t>
      </w:r>
      <w:proofErr w:type="gramEnd"/>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w:t>
      </w:r>
      <w:proofErr w:type="gramStart"/>
      <w:r w:rsidRPr="00A15AAB">
        <w:rPr>
          <w:rFonts w:ascii="Times New Roman" w:eastAsia="Times New Roman" w:hAnsi="Times New Roman" w:cs="Times New Roman"/>
          <w:color w:val="292929"/>
          <w:spacing w:val="-1"/>
          <w:lang w:val="en-US" w:eastAsia="es-CO"/>
        </w:rPr>
        <w:t>references</w:t>
      </w:r>
      <w:proofErr w:type="gramEnd"/>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w:t>
      </w:r>
      <w:proofErr w:type="gramStart"/>
      <w:r w:rsidR="003F4505" w:rsidRPr="00A15AAB">
        <w:rPr>
          <w:rFonts w:ascii="Times New Roman" w:eastAsia="Times New Roman" w:hAnsi="Times New Roman" w:cs="Times New Roman"/>
          <w:color w:val="292929"/>
          <w:spacing w:val="-1"/>
          <w:lang w:val="en-US" w:eastAsia="es-CO"/>
        </w:rPr>
        <w:t>method</w:t>
      </w:r>
      <w:proofErr w:type="gramEnd"/>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384E7E"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eastAsia="es-CO"/>
        </w:rPr>
      </w:pPr>
      <w:proofErr w:type="spellStart"/>
      <w:r w:rsidRPr="00384E7E">
        <w:rPr>
          <w:rFonts w:ascii="Times New Roman" w:eastAsia="Times New Roman" w:hAnsi="Times New Roman" w:cs="Times New Roman"/>
          <w:b/>
          <w:bCs/>
          <w:color w:val="292929"/>
          <w:kern w:val="36"/>
          <w:sz w:val="24"/>
          <w:szCs w:val="24"/>
          <w:lang w:eastAsia="es-CO"/>
        </w:rPr>
        <w:t>Regression</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models</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for</w:t>
      </w:r>
      <w:proofErr w:type="spellEnd"/>
      <w:r w:rsidRPr="00384E7E">
        <w:rPr>
          <w:rFonts w:ascii="Times New Roman" w:eastAsia="Times New Roman" w:hAnsi="Times New Roman" w:cs="Times New Roman"/>
          <w:b/>
          <w:bCs/>
          <w:color w:val="292929"/>
          <w:kern w:val="36"/>
          <w:sz w:val="24"/>
          <w:szCs w:val="24"/>
          <w:lang w:eastAsia="es-CO"/>
        </w:rPr>
        <w:t xml:space="preserve"> </w:t>
      </w:r>
      <w:proofErr w:type="spellStart"/>
      <w:r w:rsidRPr="00384E7E">
        <w:rPr>
          <w:rFonts w:ascii="Times New Roman" w:eastAsia="Times New Roman" w:hAnsi="Times New Roman" w:cs="Times New Roman"/>
          <w:b/>
          <w:bCs/>
          <w:color w:val="292929"/>
          <w:kern w:val="36"/>
          <w:sz w:val="24"/>
          <w:szCs w:val="24"/>
          <w:lang w:eastAsia="es-CO"/>
        </w:rPr>
        <w:t>prediction</w:t>
      </w:r>
      <w:proofErr w:type="spellEnd"/>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w:t>
      </w:r>
      <w:proofErr w:type="gramStart"/>
      <w:r w:rsidRPr="00A15AAB">
        <w:rPr>
          <w:rFonts w:ascii="Times New Roman" w:eastAsia="Times New Roman" w:hAnsi="Times New Roman" w:cs="Times New Roman"/>
          <w:color w:val="292929"/>
          <w:kern w:val="36"/>
          <w:sz w:val="24"/>
          <w:szCs w:val="24"/>
          <w:lang w:val="en-US" w:eastAsia="es-CO"/>
        </w:rPr>
        <w:t>all of</w:t>
      </w:r>
      <w:proofErr w:type="gramEnd"/>
      <w:r w:rsidRPr="00A15AAB">
        <w:rPr>
          <w:rFonts w:ascii="Times New Roman" w:eastAsia="Times New Roman" w:hAnsi="Times New Roman" w:cs="Times New Roman"/>
          <w:color w:val="292929"/>
          <w:kern w:val="36"/>
          <w:sz w:val="24"/>
          <w:szCs w:val="24"/>
          <w:lang w:val="en-US" w:eastAsia="es-CO"/>
        </w:rPr>
        <w:t xml:space="preserve">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384E7E"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rPr>
      </w:pPr>
      <w:r w:rsidRPr="00384E7E">
        <w:rPr>
          <w:rFonts w:ascii="Times New Roman" w:hAnsi="Times New Roman" w:cs="Times New Roman"/>
          <w:b/>
          <w:bCs/>
          <w:color w:val="292929"/>
          <w:spacing w:val="-1"/>
          <w:sz w:val="24"/>
          <w:szCs w:val="24"/>
        </w:rPr>
        <w:t xml:space="preserve">AR </w:t>
      </w:r>
      <w:proofErr w:type="spellStart"/>
      <w:r w:rsidRPr="00384E7E">
        <w:rPr>
          <w:rFonts w:ascii="Times New Roman" w:hAnsi="Times New Roman" w:cs="Times New Roman"/>
          <w:b/>
          <w:bCs/>
          <w:color w:val="292929"/>
          <w:spacing w:val="-1"/>
          <w:sz w:val="24"/>
          <w:szCs w:val="24"/>
        </w:rPr>
        <w:t>Model</w:t>
      </w:r>
      <w:proofErr w:type="spellEnd"/>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proofErr w:type="gramStart"/>
      <w:r w:rsidRPr="00A15AAB">
        <w:rPr>
          <w:rFonts w:ascii="Times New Roman" w:hAnsi="Times New Roman" w:cs="Times New Roman"/>
          <w:color w:val="292929"/>
          <w:spacing w:val="-1"/>
          <w:sz w:val="24"/>
          <w:szCs w:val="24"/>
          <w:lang w:val="en-US"/>
        </w:rPr>
        <w:t>p,d</w:t>
      </w:r>
      <w:proofErr w:type="gramEnd"/>
      <w:r w:rsidRPr="00A15AAB">
        <w:rPr>
          <w:rFonts w:ascii="Times New Roman" w:hAnsi="Times New Roman" w:cs="Times New Roman"/>
          <w:color w:val="292929"/>
          <w:spacing w:val="-1"/>
          <w:sz w:val="24"/>
          <w:szCs w:val="24"/>
          <w:lang w:val="en-US"/>
        </w:rPr>
        <w:t>,q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 xml:space="preserve">When comparing the RMSE out-of-sample values for both models, </w:t>
      </w:r>
      <w:proofErr w:type="gramStart"/>
      <w:r w:rsidRPr="00A15AAB">
        <w:rPr>
          <w:rFonts w:ascii="Times New Roman" w:eastAsia="Times New Roman" w:hAnsi="Times New Roman" w:cs="Times New Roman"/>
          <w:color w:val="292929"/>
          <w:spacing w:val="-1"/>
          <w:sz w:val="24"/>
          <w:szCs w:val="24"/>
          <w:lang w:val="en-US" w:eastAsia="es-CO"/>
        </w:rPr>
        <w:t>it is clear that the</w:t>
      </w:r>
      <w:proofErr w:type="gramEnd"/>
      <w:r w:rsidRPr="00A15AAB">
        <w:rPr>
          <w:rFonts w:ascii="Times New Roman" w:eastAsia="Times New Roman" w:hAnsi="Times New Roman" w:cs="Times New Roman"/>
          <w:color w:val="292929"/>
          <w:spacing w:val="-1"/>
          <w:sz w:val="24"/>
          <w:szCs w:val="24"/>
          <w:lang w:val="en-US" w:eastAsia="es-CO"/>
        </w:rPr>
        <w:t xml:space="preserv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384E7E" w:rsidRDefault="009C0384" w:rsidP="009C0384">
      <w:pP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b/>
          <w:bCs/>
          <w:color w:val="292929"/>
          <w:spacing w:val="-1"/>
          <w:sz w:val="24"/>
          <w:szCs w:val="24"/>
          <w:shd w:val="clear" w:color="auto" w:fill="FFFFFF"/>
        </w:rPr>
        <w:t xml:space="preserve">ARIMA </w:t>
      </w:r>
      <w:proofErr w:type="spellStart"/>
      <w:r w:rsidRPr="00384E7E">
        <w:rPr>
          <w:rFonts w:ascii="Times New Roman" w:hAnsi="Times New Roman" w:cs="Times New Roman"/>
          <w:b/>
          <w:bCs/>
          <w:color w:val="292929"/>
          <w:spacing w:val="-1"/>
          <w:sz w:val="24"/>
          <w:szCs w:val="24"/>
          <w:shd w:val="clear" w:color="auto" w:fill="FFFFFF"/>
        </w:rPr>
        <w:t>model</w:t>
      </w:r>
      <w:proofErr w:type="spellEnd"/>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proofErr w:type="gramStart"/>
      <w:r w:rsidRPr="00A15AAB">
        <w:rPr>
          <w:rFonts w:ascii="Times New Roman" w:hAnsi="Times New Roman" w:cs="Times New Roman"/>
          <w:color w:val="292929"/>
          <w:spacing w:val="-1"/>
          <w:sz w:val="24"/>
          <w:szCs w:val="24"/>
          <w:shd w:val="clear" w:color="auto" w:fill="FFFFFF"/>
          <w:lang w:val="en-US"/>
        </w:rPr>
        <w:t>pmdarima.arima</w:t>
      </w:r>
      <w:proofErr w:type="gramEnd"/>
      <w:r w:rsidRPr="00A15AAB">
        <w:rPr>
          <w:rFonts w:ascii="Times New Roman" w:hAnsi="Times New Roman" w:cs="Times New Roman"/>
          <w:color w:val="292929"/>
          <w:spacing w:val="-1"/>
          <w:sz w:val="24"/>
          <w:szCs w:val="24"/>
          <w:shd w:val="clear" w:color="auto" w:fill="FFFFFF"/>
          <w:lang w:val="en-US"/>
        </w:rPr>
        <w:t>.auto_arima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proofErr w:type="gramStart"/>
      <w:r w:rsidRPr="00A15AAB">
        <w:rPr>
          <w:rFonts w:ascii="Times New Roman" w:hAnsi="Times New Roman" w:cs="Times New Roman"/>
          <w:color w:val="292929"/>
          <w:spacing w:val="-1"/>
          <w:sz w:val="24"/>
          <w:szCs w:val="24"/>
          <w:shd w:val="clear" w:color="auto" w:fill="FFFFFF"/>
          <w:lang w:val="en-US"/>
        </w:rPr>
        <w:t>p,d</w:t>
      </w:r>
      <w:proofErr w:type="gramEnd"/>
      <w:r w:rsidRPr="00A15AAB">
        <w:rPr>
          <w:rFonts w:ascii="Times New Roman" w:hAnsi="Times New Roman" w:cs="Times New Roman"/>
          <w:color w:val="292929"/>
          <w:spacing w:val="-1"/>
          <w:sz w:val="24"/>
          <w:szCs w:val="24"/>
          <w:shd w:val="clear" w:color="auto" w:fill="FFFFFF"/>
          <w:lang w:val="en-US"/>
        </w:rPr>
        <w:t>,q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optimal specification for the data corresponding to the first component turned out to be </w:t>
      </w:r>
      <w:proofErr w:type="gramStart"/>
      <w:r w:rsidRPr="00A15AAB">
        <w:rPr>
          <w:rFonts w:ascii="Times New Roman" w:hAnsi="Times New Roman" w:cs="Times New Roman"/>
          <w:color w:val="292929"/>
          <w:spacing w:val="-1"/>
          <w:sz w:val="24"/>
          <w:szCs w:val="24"/>
          <w:shd w:val="clear" w:color="auto" w:fill="FFFFFF"/>
          <w:lang w:val="en-US"/>
        </w:rPr>
        <w:t>ARIMA(</w:t>
      </w:r>
      <w:proofErr w:type="gramEnd"/>
      <w:r w:rsidRPr="00A15AAB">
        <w:rPr>
          <w:rFonts w:ascii="Times New Roman" w:hAnsi="Times New Roman" w:cs="Times New Roman"/>
          <w:color w:val="292929"/>
          <w:spacing w:val="-1"/>
          <w:sz w:val="24"/>
          <w:szCs w:val="24"/>
          <w:shd w:val="clear" w:color="auto" w:fill="FFFFFF"/>
          <w:lang w:val="en-US"/>
        </w:rPr>
        <w:t>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proofErr w:type="gramStart"/>
      <w:r w:rsidR="00530E7D" w:rsidRPr="00A15AAB">
        <w:rPr>
          <w:rFonts w:ascii="Times New Roman" w:eastAsia="Times New Roman" w:hAnsi="Times New Roman" w:cs="Times New Roman"/>
          <w:color w:val="292929"/>
          <w:spacing w:val="-1"/>
          <w:lang w:val="en-US" w:eastAsia="es-CO"/>
        </w:rPr>
        <w:t>differentiated</w:t>
      </w:r>
      <w:proofErr w:type="gramEnd"/>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second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 xml:space="preserve">Estimation of an ARIMA model for the third component </w:t>
      </w:r>
      <w:proofErr w:type="gramStart"/>
      <w:r w:rsidRPr="00A15AAB">
        <w:rPr>
          <w:rFonts w:ascii="Times New Roman" w:eastAsia="Times New Roman" w:hAnsi="Times New Roman" w:cs="Times New Roman"/>
          <w:color w:val="292929"/>
          <w:spacing w:val="-1"/>
          <w:lang w:val="en-US" w:eastAsia="es-CO"/>
        </w:rPr>
        <w:t>differentiated</w:t>
      </w:r>
      <w:proofErr w:type="gramEnd"/>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xml:space="preserve">. According to the patterns presented in the graphs, where the predicted values are very close to the real values, and with the RSME values, </w:t>
      </w:r>
      <w:proofErr w:type="gramStart"/>
      <w:r w:rsidRPr="00A15AAB">
        <w:rPr>
          <w:rFonts w:ascii="Times New Roman" w:hAnsi="Times New Roman" w:cs="Times New Roman"/>
          <w:color w:val="292929"/>
          <w:spacing w:val="-1"/>
          <w:sz w:val="24"/>
          <w:szCs w:val="24"/>
          <w:shd w:val="clear" w:color="auto" w:fill="FFFFFF"/>
          <w:lang w:val="en-US"/>
        </w:rPr>
        <w:t>it is clear that the</w:t>
      </w:r>
      <w:proofErr w:type="gramEnd"/>
      <w:r w:rsidRPr="00A15AAB">
        <w:rPr>
          <w:rFonts w:ascii="Times New Roman" w:hAnsi="Times New Roman" w:cs="Times New Roman"/>
          <w:color w:val="292929"/>
          <w:spacing w:val="-1"/>
          <w:sz w:val="24"/>
          <w:szCs w:val="24"/>
          <w:shd w:val="clear" w:color="auto" w:fill="FFFFFF"/>
          <w:lang w:val="en-US"/>
        </w:rPr>
        <w:t xml:space="preserv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 xml:space="preserve">Comparison of the root mean square error metric between the estimated models and the naive </w:t>
      </w:r>
      <w:proofErr w:type="gramStart"/>
      <w:r w:rsidR="00B51AE7" w:rsidRPr="00A15AAB">
        <w:rPr>
          <w:rFonts w:ascii="Times New Roman" w:eastAsia="Times New Roman" w:hAnsi="Times New Roman" w:cs="Times New Roman"/>
          <w:color w:val="292929"/>
          <w:spacing w:val="-1"/>
          <w:lang w:val="en-US" w:eastAsia="es-CO"/>
        </w:rPr>
        <w:t>model</w:t>
      </w:r>
      <w:proofErr w:type="gramEnd"/>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7"/>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w:t>
      </w:r>
      <w:proofErr w:type="gramStart"/>
      <w:r w:rsidRPr="00A15AAB">
        <w:rPr>
          <w:rFonts w:ascii="Times New Roman" w:hAnsi="Times New Roman" w:cs="Times New Roman"/>
        </w:rPr>
        <w:t>tree</w:t>
      </w:r>
      <w:proofErr w:type="gramEnd"/>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5"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where FP stands for false positives. Finally, AUC is the area under the ROC curve, where ROC stands for receiver operating </w:t>
      </w:r>
      <w:proofErr w:type="gramStart"/>
      <w:r w:rsidRPr="00A15AAB">
        <w:rPr>
          <w:rFonts w:ascii="Times New Roman" w:hAnsi="Times New Roman" w:cs="Times New Roman"/>
        </w:rPr>
        <w:t>characteristic</w:t>
      </w:r>
      <w:proofErr w:type="gramEnd"/>
      <w:r w:rsidRPr="00A15AAB">
        <w:rPr>
          <w:rFonts w:ascii="Times New Roman" w:hAnsi="Times New Roman" w:cs="Times New Roman"/>
        </w:rPr>
        <w:t xml:space="preserve">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w:t>
      </w:r>
      <w:proofErr w:type="gramStart"/>
      <w:r w:rsidRPr="00A15AAB">
        <w:rPr>
          <w:rFonts w:ascii="Times New Roman" w:hAnsi="Times New Roman" w:cs="Times New Roman"/>
        </w:rPr>
        <w:t>is considered to be</w:t>
      </w:r>
      <w:proofErr w:type="gramEnd"/>
      <w:r w:rsidRPr="00A15AAB">
        <w:rPr>
          <w:rFonts w:ascii="Times New Roman" w:hAnsi="Times New Roman" w:cs="Times New Roman"/>
        </w:rPr>
        <w:t xml:space="preserv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 xml:space="preserve">place, we implemented the algorithm without restricting the depth of the tree (there were 299 nodes with a maximum depth of 15). Subsequently, we tuned the hyperparameters, including the maximum depth, obtaining the best model in terms of prediction. </w:t>
      </w:r>
      <w:proofErr w:type="gramStart"/>
      <w:r w:rsidRPr="00A15AAB">
        <w:rPr>
          <w:rFonts w:ascii="Times New Roman" w:hAnsi="Times New Roman" w:cs="Times New Roman"/>
        </w:rPr>
        <w:t>In order to</w:t>
      </w:r>
      <w:proofErr w:type="gramEnd"/>
      <w:r w:rsidRPr="00A15AAB">
        <w:rPr>
          <w:rFonts w:ascii="Times New Roman" w:hAnsi="Times New Roman" w:cs="Times New Roman"/>
        </w:rPr>
        <w:t xml:space="preserve">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w:t>
      </w:r>
      <w:proofErr w:type="gramStart"/>
      <w:r w:rsidRPr="00A15AAB">
        <w:rPr>
          <w:rFonts w:ascii="Times New Roman" w:hAnsi="Times New Roman" w:cs="Times New Roman"/>
          <w:b w:val="0"/>
          <w:bCs w:val="0"/>
        </w:rPr>
        <w:t>validation</w:t>
      </w:r>
      <w:proofErr w:type="gramEnd"/>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The random forest is a method that employs a certain number of individual trees. Each tree uses a random set of </w:t>
      </w:r>
      <w:proofErr w:type="gramStart"/>
      <w:r w:rsidRPr="00A15AAB">
        <w:rPr>
          <w:rFonts w:ascii="Times New Roman" w:hAnsi="Times New Roman" w:cs="Times New Roman"/>
        </w:rPr>
        <w:t>observations</w:t>
      </w:r>
      <w:proofErr w:type="gramEnd"/>
      <w:r w:rsidRPr="00A15AAB">
        <w:rPr>
          <w:rFonts w:ascii="Times New Roman" w:hAnsi="Times New Roman" w:cs="Times New Roman"/>
        </w:rPr>
        <w:t xml:space="preserve">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w:t>
      </w:r>
      <w:proofErr w:type="gramStart"/>
      <w:r w:rsidRPr="00A15AAB">
        <w:rPr>
          <w:rFonts w:ascii="Times New Roman" w:hAnsi="Times New Roman" w:cs="Times New Roman"/>
          <w:b/>
        </w:rPr>
        <w:t>nodes:</w:t>
      </w:r>
      <w:proofErr w:type="gramEnd"/>
      <w:r w:rsidRPr="00A15AAB">
        <w:rPr>
          <w:rFonts w:ascii="Times New Roman" w:hAnsi="Times New Roman" w:cs="Times New Roman"/>
          <w:b/>
        </w:rPr>
        <w:t xml:space="preserve">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9"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w:t>
      </w:r>
      <w:proofErr w:type="gramStart"/>
      <w:r w:rsidRPr="00A15AAB">
        <w:rPr>
          <w:rFonts w:ascii="Times New Roman" w:hAnsi="Times New Roman" w:cs="Times New Roman"/>
        </w:rPr>
        <w:t>},{</w:t>
      </w:r>
      <w:proofErr w:type="gramEnd"/>
      <w:r w:rsidRPr="00A15AAB">
        <w:rPr>
          <w:rFonts w:ascii="Times New Roman" w:hAnsi="Times New Roman" w:cs="Times New Roman"/>
        </w:rPr>
        <w:t>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Table 9, the model performs well in terms of classifying the negative and positive returns of the strategies for the test set. The precision measure is lower than 0.95 </w:t>
      </w:r>
      <w:proofErr w:type="gramStart"/>
      <w:r w:rsidRPr="00A15AAB">
        <w:rPr>
          <w:rFonts w:ascii="Times New Roman" w:hAnsi="Times New Roman" w:cs="Times New Roman"/>
        </w:rPr>
        <w:t>for  only</w:t>
      </w:r>
      <w:proofErr w:type="gramEnd"/>
      <w:r w:rsidRPr="00A15AAB">
        <w:rPr>
          <w:rFonts w:ascii="Times New Roman" w:hAnsi="Times New Roman" w:cs="Times New Roman"/>
        </w:rPr>
        <w:t xml:space="preserve">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384E7E"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t>.</w:t>
      </w:r>
    </w:p>
    <w:p w14:paraId="2C4D8DB2" w14:textId="2EABB0BB" w:rsidR="00820062" w:rsidRPr="00384E7E"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lang w:val="es-CO"/>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 xml:space="preserve">The same </w:t>
      </w:r>
      <w:proofErr w:type="gramStart"/>
      <w:r w:rsidR="00BB76EC" w:rsidRPr="00A15AAB">
        <w:rPr>
          <w:rFonts w:ascii="Times New Roman" w:hAnsi="Times New Roman" w:cs="Times New Roman"/>
        </w:rPr>
        <w:t>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proofErr w:type="gram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4C48E756" w14:textId="77777777" w:rsidR="00D403B3" w:rsidRPr="00D403B3" w:rsidRDefault="000E4763" w:rsidP="00D403B3">
              <w:pPr>
                <w:pStyle w:val="Bibliografa"/>
                <w:ind w:left="720" w:hanging="720"/>
                <w:rPr>
                  <w:noProof/>
                  <w:sz w:val="24"/>
                  <w:szCs w:val="24"/>
                  <w:lang w:val="en-US"/>
                </w:rPr>
              </w:pPr>
              <w:r w:rsidRPr="000E4763">
                <w:rPr>
                  <w:rFonts w:ascii="Times New Roman" w:hAnsi="Times New Roman" w:cs="Times New Roman"/>
                </w:rPr>
                <w:fldChar w:fldCharType="begin"/>
              </w:r>
              <w:r w:rsidRPr="00BE3BC8">
                <w:rPr>
                  <w:rFonts w:ascii="Times New Roman" w:hAnsi="Times New Roman" w:cs="Times New Roman"/>
                  <w:lang w:val="en-US"/>
                </w:rPr>
                <w:instrText>BIBLIOGRAPHY</w:instrText>
              </w:r>
              <w:r w:rsidRPr="000E4763">
                <w:rPr>
                  <w:rFonts w:ascii="Times New Roman" w:hAnsi="Times New Roman" w:cs="Times New Roman"/>
                </w:rPr>
                <w:fldChar w:fldCharType="separate"/>
              </w:r>
              <w:r w:rsidR="00D403B3" w:rsidRPr="00D403B3">
                <w:rPr>
                  <w:noProof/>
                  <w:lang w:val="en-US"/>
                </w:rPr>
                <w:t xml:space="preserve">Ang, S., Alles, L., &amp; Allen, D. (1998). Riding the yield curve: An analysis of international evidence. </w:t>
              </w:r>
              <w:r w:rsidR="00D403B3" w:rsidRPr="00D403B3">
                <w:rPr>
                  <w:i/>
                  <w:iCs/>
                  <w:noProof/>
                  <w:lang w:val="en-US"/>
                </w:rPr>
                <w:t>The Journal of Fixed Income, 8</w:t>
              </w:r>
              <w:r w:rsidR="00D403B3" w:rsidRPr="00D403B3">
                <w:rPr>
                  <w:noProof/>
                  <w:lang w:val="en-US"/>
                </w:rPr>
                <w:t>(3), 57-74.</w:t>
              </w:r>
            </w:p>
            <w:p w14:paraId="23DFB665" w14:textId="77777777" w:rsidR="00D403B3" w:rsidRPr="00D403B3" w:rsidRDefault="00D403B3" w:rsidP="00D403B3">
              <w:pPr>
                <w:pStyle w:val="Bibliografa"/>
                <w:ind w:left="720" w:hanging="720"/>
                <w:rPr>
                  <w:noProof/>
                  <w:lang w:val="en-US"/>
                </w:rPr>
              </w:pPr>
              <w:r w:rsidRPr="00D403B3">
                <w:rPr>
                  <w:noProof/>
                  <w:lang w:val="en-US"/>
                </w:rPr>
                <w:t xml:space="preserve">Black, F., &amp; Scholes, M. (1973). The pricing of options and corporate liabilities. </w:t>
              </w:r>
              <w:r w:rsidRPr="00D403B3">
                <w:rPr>
                  <w:i/>
                  <w:iCs/>
                  <w:noProof/>
                  <w:lang w:val="en-US"/>
                </w:rPr>
                <w:t>Journal of political economy, 81</w:t>
              </w:r>
              <w:r w:rsidRPr="00D403B3">
                <w:rPr>
                  <w:noProof/>
                  <w:lang w:val="en-US"/>
                </w:rPr>
                <w:t>(3), 637-654.</w:t>
              </w:r>
            </w:p>
            <w:p w14:paraId="58650699" w14:textId="77777777" w:rsidR="00D403B3" w:rsidRPr="00D403B3" w:rsidRDefault="00D403B3" w:rsidP="00D403B3">
              <w:pPr>
                <w:pStyle w:val="Bibliografa"/>
                <w:ind w:left="720" w:hanging="720"/>
                <w:rPr>
                  <w:noProof/>
                  <w:lang w:val="en-US"/>
                </w:rPr>
              </w:pPr>
              <w:r w:rsidRPr="00D403B3">
                <w:rPr>
                  <w:noProof/>
                  <w:lang w:val="en-US"/>
                </w:rPr>
                <w:t xml:space="preserve">Chua, C. T., Koh, W. T., &amp; Ramaswamy, K. (2005). Comparing returns of US treasuries versus equities: implications for market and portfolio efficiency. </w:t>
              </w:r>
              <w:r w:rsidRPr="00D403B3">
                <w:rPr>
                  <w:i/>
                  <w:iCs/>
                  <w:noProof/>
                  <w:lang w:val="en-US"/>
                </w:rPr>
                <w:t>Applied Financial Economics, 15</w:t>
              </w:r>
              <w:r w:rsidRPr="00D403B3">
                <w:rPr>
                  <w:noProof/>
                  <w:lang w:val="en-US"/>
                </w:rPr>
                <w:t>(17), 1213-1218.</w:t>
              </w:r>
            </w:p>
            <w:p w14:paraId="36BB077B" w14:textId="77777777" w:rsidR="00D403B3" w:rsidRPr="00D403B3" w:rsidRDefault="00D403B3" w:rsidP="00D403B3">
              <w:pPr>
                <w:pStyle w:val="Bibliografa"/>
                <w:ind w:left="720" w:hanging="720"/>
                <w:rPr>
                  <w:noProof/>
                  <w:lang w:val="en-US"/>
                </w:rPr>
              </w:pPr>
              <w:r w:rsidRPr="00D403B3">
                <w:rPr>
                  <w:noProof/>
                  <w:lang w:val="en-US"/>
                </w:rPr>
                <w:t xml:space="preserve">Dyl, E., &amp; Joehnk, M. D. (1981). Riding the yield curve: does it work? </w:t>
              </w:r>
              <w:r w:rsidRPr="00D403B3">
                <w:rPr>
                  <w:i/>
                  <w:iCs/>
                  <w:noProof/>
                  <w:lang w:val="en-US"/>
                </w:rPr>
                <w:t>The journal of portfolio management, 7</w:t>
              </w:r>
              <w:r w:rsidRPr="00D403B3">
                <w:rPr>
                  <w:noProof/>
                  <w:lang w:val="en-US"/>
                </w:rPr>
                <w:t>(3), 13-17.</w:t>
              </w:r>
            </w:p>
            <w:p w14:paraId="401AC2BD" w14:textId="77777777" w:rsidR="00D403B3" w:rsidRDefault="00D403B3" w:rsidP="00D403B3">
              <w:pPr>
                <w:pStyle w:val="Bibliografa"/>
                <w:ind w:left="720" w:hanging="720"/>
                <w:rPr>
                  <w:noProof/>
                  <w:lang w:val="es-ES"/>
                </w:rPr>
              </w:pPr>
              <w:r w:rsidRPr="00D403B3">
                <w:rPr>
                  <w:noProof/>
                  <w:lang w:val="en-US"/>
                </w:rPr>
                <w:t xml:space="preserve">Fabozzi, F. J. (2021). </w:t>
              </w:r>
              <w:r w:rsidRPr="00D403B3">
                <w:rPr>
                  <w:i/>
                  <w:iCs/>
                  <w:noProof/>
                  <w:lang w:val="en-US"/>
                </w:rPr>
                <w:t>The handbook of fixed income securities</w:t>
              </w:r>
              <w:r w:rsidRPr="00D403B3">
                <w:rPr>
                  <w:noProof/>
                  <w:lang w:val="en-US"/>
                </w:rPr>
                <w:t xml:space="preserve"> (Novena ed.). </w:t>
              </w:r>
              <w:r>
                <w:rPr>
                  <w:noProof/>
                  <w:lang w:val="es-ES"/>
                </w:rPr>
                <w:t>McGraw-Hill Education.</w:t>
              </w:r>
            </w:p>
            <w:p w14:paraId="5DADAA52" w14:textId="77777777" w:rsidR="00D403B3" w:rsidRPr="00D403B3" w:rsidRDefault="00D403B3" w:rsidP="00D403B3">
              <w:pPr>
                <w:pStyle w:val="Bibliografa"/>
                <w:ind w:left="720" w:hanging="720"/>
                <w:rPr>
                  <w:noProof/>
                  <w:lang w:val="en-US"/>
                </w:rPr>
              </w:pPr>
              <w:r>
                <w:rPr>
                  <w:noProof/>
                  <w:lang w:val="es-ES"/>
                </w:rPr>
                <w:t xml:space="preserve">Fernández-Rodrı́guez, F., González-Martel, C., &amp; Sosvilla-Rivero, S. (2000). </w:t>
              </w:r>
              <w:r w:rsidRPr="00D403B3">
                <w:rPr>
                  <w:noProof/>
                  <w:lang w:val="en-US"/>
                </w:rPr>
                <w:t xml:space="preserve">On the profitability of technical trading rules based on artificial neural networks: Evidence from the Madrid stock market. </w:t>
              </w:r>
              <w:r w:rsidRPr="00D403B3">
                <w:rPr>
                  <w:i/>
                  <w:iCs/>
                  <w:noProof/>
                  <w:lang w:val="en-US"/>
                </w:rPr>
                <w:t>Economics Letters, 69</w:t>
              </w:r>
              <w:r w:rsidRPr="00D403B3">
                <w:rPr>
                  <w:noProof/>
                  <w:lang w:val="en-US"/>
                </w:rPr>
                <w:t>(1), 89-94. https://doi.org/https://doi.org/10.1016/S0165-1765(00)00270-6</w:t>
              </w:r>
            </w:p>
            <w:p w14:paraId="6A6BE793" w14:textId="77777777" w:rsidR="00D403B3" w:rsidRPr="00D403B3" w:rsidRDefault="00D403B3" w:rsidP="00D403B3">
              <w:pPr>
                <w:pStyle w:val="Bibliografa"/>
                <w:ind w:left="720" w:hanging="720"/>
                <w:rPr>
                  <w:noProof/>
                  <w:lang w:val="en-US"/>
                </w:rPr>
              </w:pPr>
              <w:r w:rsidRPr="00D403B3">
                <w:rPr>
                  <w:noProof/>
                  <w:lang w:val="en-US"/>
                </w:rPr>
                <w:t xml:space="preserve">Galvani, V., &amp; Landon, S. (2013). Riding the yield curve: a spanning analysis. </w:t>
              </w:r>
              <w:r w:rsidRPr="00D403B3">
                <w:rPr>
                  <w:i/>
                  <w:iCs/>
                  <w:noProof/>
                  <w:lang w:val="en-US"/>
                </w:rPr>
                <w:t>Review of Quantitative Finance and Accounting, 40</w:t>
              </w:r>
              <w:r w:rsidRPr="00D403B3">
                <w:rPr>
                  <w:noProof/>
                  <w:lang w:val="en-US"/>
                </w:rPr>
                <w:t>, 135-154.</w:t>
              </w:r>
            </w:p>
            <w:p w14:paraId="489FDFCC" w14:textId="77777777" w:rsidR="00D403B3" w:rsidRPr="00D403B3" w:rsidRDefault="00D403B3" w:rsidP="00D403B3">
              <w:pPr>
                <w:pStyle w:val="Bibliografa"/>
                <w:ind w:left="720" w:hanging="720"/>
                <w:rPr>
                  <w:noProof/>
                  <w:lang w:val="en-US"/>
                </w:rPr>
              </w:pPr>
              <w:r w:rsidRPr="00D403B3">
                <w:rPr>
                  <w:noProof/>
                  <w:lang w:val="en-US"/>
                </w:rPr>
                <w:t xml:space="preserve">Gogas, P., Papadimitriou, T., Matthaiou, M., &amp; Chrysanthidou, E. (2015). Yield curve and recession forecasting in a machine learning framework. </w:t>
              </w:r>
              <w:r w:rsidRPr="00D403B3">
                <w:rPr>
                  <w:i/>
                  <w:iCs/>
                  <w:noProof/>
                  <w:lang w:val="en-US"/>
                </w:rPr>
                <w:t>Computational Economics, 45</w:t>
              </w:r>
              <w:r w:rsidRPr="00D403B3">
                <w:rPr>
                  <w:noProof/>
                  <w:lang w:val="en-US"/>
                </w:rPr>
                <w:t>, 635-645.</w:t>
              </w:r>
            </w:p>
            <w:p w14:paraId="38597671" w14:textId="77777777" w:rsidR="00D403B3" w:rsidRPr="00D403B3" w:rsidRDefault="00D403B3" w:rsidP="00D403B3">
              <w:pPr>
                <w:pStyle w:val="Bibliografa"/>
                <w:ind w:left="720" w:hanging="720"/>
                <w:rPr>
                  <w:noProof/>
                  <w:lang w:val="en-US"/>
                </w:rPr>
              </w:pPr>
              <w:r w:rsidRPr="00D403B3">
                <w:rPr>
                  <w:noProof/>
                  <w:lang w:val="en-US"/>
                </w:rPr>
                <w:t xml:space="preserve">Grieves, R., &amp; Marcus, A. J. (1992). Riding the yield curve: reprise. </w:t>
              </w:r>
              <w:r w:rsidRPr="00D403B3">
                <w:rPr>
                  <w:i/>
                  <w:iCs/>
                  <w:noProof/>
                  <w:lang w:val="en-US"/>
                </w:rPr>
                <w:t>Journal of Portfolio Management, 18</w:t>
              </w:r>
              <w:r w:rsidRPr="00D403B3">
                <w:rPr>
                  <w:noProof/>
                  <w:lang w:val="en-US"/>
                </w:rPr>
                <w:t>(4), 67-76.</w:t>
              </w:r>
            </w:p>
            <w:p w14:paraId="5B21A504" w14:textId="77777777" w:rsidR="00D403B3" w:rsidRPr="00D403B3" w:rsidRDefault="00D403B3" w:rsidP="00D403B3">
              <w:pPr>
                <w:pStyle w:val="Bibliografa"/>
                <w:ind w:left="720" w:hanging="720"/>
                <w:rPr>
                  <w:noProof/>
                  <w:lang w:val="en-US"/>
                </w:rPr>
              </w:pPr>
              <w:r w:rsidRPr="00D403B3">
                <w:rPr>
                  <w:noProof/>
                  <w:lang w:val="en-US"/>
                </w:rPr>
                <w:t xml:space="preserve">Henrique, B. M., Sobreiro, V. A., &amp; Kimura, H. (2019). Literature review: Machine learning techniques applied to financial market prediction. </w:t>
              </w:r>
              <w:r w:rsidRPr="00D403B3">
                <w:rPr>
                  <w:i/>
                  <w:iCs/>
                  <w:noProof/>
                  <w:lang w:val="en-US"/>
                </w:rPr>
                <w:t>Expert Systems with Applications, 124</w:t>
              </w:r>
              <w:r w:rsidRPr="00D403B3">
                <w:rPr>
                  <w:noProof/>
                  <w:lang w:val="en-US"/>
                </w:rPr>
                <w:t>, 226-251. https://doi.org/https://doi.org/10.1016/j.eswa.2019.01.012</w:t>
              </w:r>
            </w:p>
            <w:p w14:paraId="34C46DBC" w14:textId="77777777" w:rsidR="00D403B3" w:rsidRPr="00D403B3" w:rsidRDefault="00D403B3" w:rsidP="00D403B3">
              <w:pPr>
                <w:pStyle w:val="Bibliografa"/>
                <w:ind w:left="720" w:hanging="720"/>
                <w:rPr>
                  <w:noProof/>
                  <w:lang w:val="en-US"/>
                </w:rPr>
              </w:pPr>
              <w:r w:rsidRPr="00D403B3">
                <w:rPr>
                  <w:noProof/>
                  <w:lang w:val="en-US"/>
                </w:rPr>
                <w:t xml:space="preserve">Hull, J. C. (2022). </w:t>
              </w:r>
              <w:r w:rsidRPr="00D403B3">
                <w:rPr>
                  <w:i/>
                  <w:iCs/>
                  <w:noProof/>
                  <w:lang w:val="en-US"/>
                </w:rPr>
                <w:t>Options, Futures, and Other Derivatives</w:t>
              </w:r>
              <w:r w:rsidRPr="00D403B3">
                <w:rPr>
                  <w:noProof/>
                  <w:lang w:val="en-US"/>
                </w:rPr>
                <w:t xml:space="preserve"> (Undécima ed.). Pearson.</w:t>
              </w:r>
            </w:p>
            <w:p w14:paraId="6EB2929F" w14:textId="77777777" w:rsidR="00D403B3" w:rsidRPr="00D403B3" w:rsidRDefault="00D403B3" w:rsidP="00D403B3">
              <w:pPr>
                <w:pStyle w:val="Bibliografa"/>
                <w:ind w:left="720" w:hanging="720"/>
                <w:rPr>
                  <w:noProof/>
                  <w:lang w:val="en-US"/>
                </w:rPr>
              </w:pPr>
              <w:r w:rsidRPr="00D403B3">
                <w:rPr>
                  <w:noProof/>
                  <w:lang w:val="en-US"/>
                </w:rPr>
                <w:t xml:space="preserve">López de Prado, M. M. (2020). </w:t>
              </w:r>
              <w:r w:rsidRPr="00D403B3">
                <w:rPr>
                  <w:i/>
                  <w:iCs/>
                  <w:noProof/>
                  <w:lang w:val="en-US"/>
                </w:rPr>
                <w:t>Machine Learning for Asset Managers.</w:t>
              </w:r>
              <w:r w:rsidRPr="00D403B3">
                <w:rPr>
                  <w:noProof/>
                  <w:lang w:val="en-US"/>
                </w:rPr>
                <w:t xml:space="preserve"> Cambridge University Press. https://doi.org/10.1017/9781108883658</w:t>
              </w:r>
            </w:p>
            <w:p w14:paraId="53AFC8FC" w14:textId="77777777" w:rsidR="00D403B3" w:rsidRPr="00D403B3" w:rsidRDefault="00D403B3" w:rsidP="00D403B3">
              <w:pPr>
                <w:pStyle w:val="Bibliografa"/>
                <w:ind w:left="720" w:hanging="720"/>
                <w:rPr>
                  <w:noProof/>
                  <w:lang w:val="en-US"/>
                </w:rPr>
              </w:pPr>
              <w:r w:rsidRPr="00D403B3">
                <w:rPr>
                  <w:noProof/>
                  <w:lang w:val="en-US"/>
                </w:rPr>
                <w:t xml:space="preserve">Merton, R. C. (1973). Theory of Rational Option Pricing. </w:t>
              </w:r>
              <w:r w:rsidRPr="00D403B3">
                <w:rPr>
                  <w:i/>
                  <w:iCs/>
                  <w:noProof/>
                  <w:lang w:val="en-US"/>
                </w:rPr>
                <w:t>The Bell Journal of Economics and Management Science, 4</w:t>
              </w:r>
              <w:r w:rsidRPr="00D403B3">
                <w:rPr>
                  <w:noProof/>
                  <w:lang w:val="en-US"/>
                </w:rPr>
                <w:t>(1), 141-183.</w:t>
              </w:r>
            </w:p>
            <w:p w14:paraId="19BE42B1" w14:textId="77777777" w:rsidR="00D403B3" w:rsidRPr="00D403B3" w:rsidRDefault="00D403B3" w:rsidP="00D403B3">
              <w:pPr>
                <w:pStyle w:val="Bibliografa"/>
                <w:ind w:left="720" w:hanging="720"/>
                <w:rPr>
                  <w:noProof/>
                  <w:lang w:val="en-US"/>
                </w:rPr>
              </w:pPr>
              <w:r w:rsidRPr="00D403B3">
                <w:rPr>
                  <w:noProof/>
                  <w:lang w:val="en-US"/>
                </w:rPr>
                <w:t xml:space="preserve">Pelaez, R. F. (1997). Riding the yield curve: Term premiums and excess returns. </w:t>
              </w:r>
              <w:r w:rsidRPr="00D403B3">
                <w:rPr>
                  <w:i/>
                  <w:iCs/>
                  <w:noProof/>
                  <w:lang w:val="en-US"/>
                </w:rPr>
                <w:t>Review of Financial Economics, 6</w:t>
              </w:r>
              <w:r w:rsidRPr="00D403B3">
                <w:rPr>
                  <w:noProof/>
                  <w:lang w:val="en-US"/>
                </w:rPr>
                <w:t>(1), 113-119. https://doi.org/https://doi.org/10.1016/S1058-3300(97)90017-3</w:t>
              </w:r>
            </w:p>
            <w:p w14:paraId="33113D4B" w14:textId="77777777" w:rsidR="00D403B3" w:rsidRPr="00D403B3" w:rsidRDefault="00D403B3" w:rsidP="00D403B3">
              <w:pPr>
                <w:pStyle w:val="Bibliografa"/>
                <w:ind w:left="720" w:hanging="720"/>
                <w:rPr>
                  <w:noProof/>
                  <w:lang w:val="en-US"/>
                </w:rPr>
              </w:pPr>
              <w:r w:rsidRPr="00D403B3">
                <w:rPr>
                  <w:noProof/>
                  <w:lang w:val="en-US"/>
                </w:rPr>
                <w:t xml:space="preserve">Refenes, N. A.-P., Burgess, N. A., &amp; Bentz, Y. (1997). Neural networks in financial engineering: a study in methodology. </w:t>
              </w:r>
              <w:r w:rsidRPr="00D403B3">
                <w:rPr>
                  <w:i/>
                  <w:iCs/>
                  <w:noProof/>
                  <w:lang w:val="en-US"/>
                </w:rPr>
                <w:t>IEEE transactions on neural networks, 8</w:t>
              </w:r>
              <w:r w:rsidRPr="00D403B3">
                <w:rPr>
                  <w:noProof/>
                  <w:lang w:val="en-US"/>
                </w:rPr>
                <w:t>, 1222-1267. https://doi.org/10.1109/72.641449</w:t>
              </w:r>
            </w:p>
            <w:p w14:paraId="37693A8B" w14:textId="77777777" w:rsidR="00D403B3" w:rsidRPr="00D403B3" w:rsidRDefault="00D403B3" w:rsidP="00D403B3">
              <w:pPr>
                <w:pStyle w:val="Bibliografa"/>
                <w:ind w:left="720" w:hanging="720"/>
                <w:rPr>
                  <w:noProof/>
                  <w:lang w:val="en-US"/>
                </w:rPr>
              </w:pPr>
              <w:r w:rsidRPr="00D403B3">
                <w:rPr>
                  <w:noProof/>
                  <w:lang w:val="en-US"/>
                </w:rPr>
                <w:lastRenderedPageBreak/>
                <w:t xml:space="preserve">Yoon, Y., Swales, G., &amp; Margavio, T. M. (1993). A Comparison of Discriminant Analysis versus Artificial Neural Networks. </w:t>
              </w:r>
              <w:r w:rsidRPr="00D403B3">
                <w:rPr>
                  <w:i/>
                  <w:iCs/>
                  <w:noProof/>
                  <w:lang w:val="en-US"/>
                </w:rPr>
                <w:t>Journal of the Operational Research Society, 44</w:t>
              </w:r>
              <w:r w:rsidRPr="00D403B3">
                <w:rPr>
                  <w:noProof/>
                  <w:lang w:val="en-US"/>
                </w:rPr>
                <w:t>(1), 51-60. https://doi.org/10.1057/jors.1993.6</w:t>
              </w:r>
            </w:p>
            <w:p w14:paraId="5AF7A73C" w14:textId="77777777" w:rsidR="00D403B3" w:rsidRPr="00D403B3" w:rsidRDefault="00D403B3" w:rsidP="00D403B3">
              <w:pPr>
                <w:pStyle w:val="Bibliografa"/>
                <w:ind w:left="720" w:hanging="720"/>
                <w:rPr>
                  <w:noProof/>
                  <w:lang w:val="en-US"/>
                </w:rPr>
              </w:pPr>
              <w:r>
                <w:rPr>
                  <w:noProof/>
                  <w:lang w:val="es-ES"/>
                </w:rPr>
                <w:t xml:space="preserve">Zenios, S. A., &amp; Ziemba, W. T. (2007). </w:t>
              </w:r>
              <w:r w:rsidRPr="00D403B3">
                <w:rPr>
                  <w:i/>
                  <w:iCs/>
                  <w:noProof/>
                  <w:lang w:val="en-US"/>
                </w:rPr>
                <w:t>Handbook of Asset and Liability Management: Applications and case studies.</w:t>
              </w:r>
              <w:r w:rsidRPr="00D403B3">
                <w:rPr>
                  <w:noProof/>
                  <w:lang w:val="en-US"/>
                </w:rPr>
                <w:t xml:space="preserve"> Elsevier.</w:t>
              </w:r>
            </w:p>
            <w:p w14:paraId="69D7803C" w14:textId="77777777" w:rsidR="00D403B3" w:rsidRPr="00D403B3" w:rsidRDefault="00D403B3" w:rsidP="00D403B3">
              <w:pPr>
                <w:pStyle w:val="Bibliografa"/>
                <w:ind w:left="720" w:hanging="720"/>
                <w:rPr>
                  <w:noProof/>
                  <w:lang w:val="en-US"/>
                </w:rPr>
              </w:pPr>
              <w:r w:rsidRPr="00D403B3">
                <w:rPr>
                  <w:noProof/>
                  <w:lang w:val="en-US"/>
                </w:rPr>
                <w:t xml:space="preserve">Zhang, N., Lin, A., &amp; Shang, P. (2017). Multidimensional k-nearest neighbor model based on EEMD for financial time series forecasting. </w:t>
              </w:r>
              <w:r w:rsidRPr="00D403B3">
                <w:rPr>
                  <w:i/>
                  <w:iCs/>
                  <w:noProof/>
                  <w:lang w:val="en-US"/>
                </w:rPr>
                <w:t>Physica A: Statistical Mechanics and its Applications, 477</w:t>
              </w:r>
              <w:r w:rsidRPr="00D403B3">
                <w:rPr>
                  <w:noProof/>
                  <w:lang w:val="en-US"/>
                </w:rPr>
                <w:t>, 161-173. https://doi.org/https://doi.org/10.1016/j.physa.2017.02.072</w:t>
              </w:r>
            </w:p>
            <w:p w14:paraId="0B5F7D07" w14:textId="77777777" w:rsidR="00D403B3" w:rsidRDefault="00D403B3" w:rsidP="00D403B3">
              <w:pPr>
                <w:pStyle w:val="Bibliografa"/>
                <w:ind w:left="720" w:hanging="720"/>
                <w:rPr>
                  <w:noProof/>
                  <w:lang w:val="es-ES"/>
                </w:rPr>
              </w:pPr>
              <w:r w:rsidRPr="00D403B3">
                <w:rPr>
                  <w:noProof/>
                  <w:lang w:val="en-US"/>
                </w:rPr>
                <w:t xml:space="preserve">Zimmermann, H., Neuneier, R., &amp; Grothmann, R. (2000). Modeling of the german yield curve by error correction neural networks. </w:t>
              </w:r>
              <w:r w:rsidRPr="00D403B3">
                <w:rPr>
                  <w:i/>
                  <w:iCs/>
                  <w:noProof/>
                  <w:lang w:val="en-US"/>
                </w:rPr>
                <w:t>Proceedings of the Second International Conference on Intelligent Data Engineering and Automated Learning, Data Mining, Financial Engineering, and Intelligent Agents</w:t>
              </w:r>
              <w:r w:rsidRPr="00D403B3">
                <w:rPr>
                  <w:noProof/>
                  <w:lang w:val="en-US"/>
                </w:rPr>
                <w:t xml:space="preserve"> (págs. </w:t>
              </w:r>
              <w:r>
                <w:rPr>
                  <w:noProof/>
                  <w:lang w:val="es-ES"/>
                </w:rPr>
                <w:t>262-267). Berlín: Springer-Verlag.</w:t>
              </w:r>
            </w:p>
            <w:p w14:paraId="52E978A9" w14:textId="3BFB7EAA" w:rsidR="000E4763" w:rsidRDefault="000E4763" w:rsidP="00D403B3">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1"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 xml:space="preserve">ercer, J., Moore, </w:t>
      </w:r>
      <w:proofErr w:type="gramStart"/>
      <w:r w:rsidRPr="009E47D6">
        <w:rPr>
          <w:rFonts w:ascii="Times New Roman" w:hAnsi="Times New Roman" w:cs="Times New Roman"/>
        </w:rPr>
        <w:t>M.E.</w:t>
      </w:r>
      <w:proofErr w:type="gramEnd"/>
      <w:r w:rsidRPr="009E47D6">
        <w:rPr>
          <w:rFonts w:ascii="Times New Roman" w:hAnsi="Times New Roman" w:cs="Times New Roman"/>
        </w:rPr>
        <w:t xml:space="preserv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w:t>
      </w:r>
      <w:proofErr w:type="gramStart"/>
      <w:r w:rsidRPr="00F47B4E">
        <w:rPr>
          <w:rFonts w:ascii="Times New Roman" w:hAnsi="Times New Roman" w:cs="Times New Roman"/>
        </w:rPr>
        <w:t>high-frequency</w:t>
      </w:r>
      <w:proofErr w:type="gramEnd"/>
      <w:r w:rsidRPr="00F47B4E">
        <w:rPr>
          <w:rFonts w:ascii="Times New Roman" w:hAnsi="Times New Roman" w:cs="Times New Roman"/>
        </w:rPr>
        <w:t xml:space="preserve">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F8BEB" w14:textId="77777777" w:rsidR="00991215" w:rsidRDefault="00991215" w:rsidP="00C85EFC">
      <w:pPr>
        <w:spacing w:after="0" w:line="240" w:lineRule="auto"/>
      </w:pPr>
      <w:r>
        <w:separator/>
      </w:r>
    </w:p>
  </w:endnote>
  <w:endnote w:type="continuationSeparator" w:id="0">
    <w:p w14:paraId="72D681D2" w14:textId="77777777" w:rsidR="00991215" w:rsidRDefault="00991215"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4BC9F" w14:textId="77777777" w:rsidR="00991215" w:rsidRDefault="00991215" w:rsidP="00C85EFC">
      <w:pPr>
        <w:spacing w:after="0" w:line="240" w:lineRule="auto"/>
      </w:pPr>
      <w:r>
        <w:separator/>
      </w:r>
    </w:p>
  </w:footnote>
  <w:footnote w:type="continuationSeparator" w:id="0">
    <w:p w14:paraId="136ADE4F" w14:textId="77777777" w:rsidR="00991215" w:rsidRDefault="00991215" w:rsidP="00C85EFC">
      <w:pPr>
        <w:spacing w:after="0" w:line="240" w:lineRule="auto"/>
      </w:pPr>
      <w:r>
        <w:continuationSeparator/>
      </w:r>
    </w:p>
  </w:footnote>
  <w:footnote w:id="1">
    <w:p w14:paraId="44C36660" w14:textId="2E355E06" w:rsidR="007F2E6D" w:rsidRPr="007F2E6D" w:rsidRDefault="007F2E6D">
      <w:pPr>
        <w:pStyle w:val="Textonotapie"/>
        <w:rPr>
          <w:lang w:val="es-CO"/>
        </w:rPr>
      </w:pPr>
      <w:r>
        <w:rPr>
          <w:rStyle w:val="Refdenotaalpie"/>
        </w:rPr>
        <w:footnoteRef/>
      </w:r>
      <w:r w:rsidRPr="007F2E6D">
        <w:rPr>
          <w:lang w:val="es-CO"/>
        </w:rPr>
        <w:t xml:space="preserve"> El concepto de </w:t>
      </w:r>
      <w:proofErr w:type="spellStart"/>
      <w:r w:rsidRPr="007F2E6D">
        <w:rPr>
          <w:lang w:val="es-CO"/>
        </w:rPr>
        <w:t>Asset</w:t>
      </w:r>
      <w:proofErr w:type="spellEnd"/>
      <w:r w:rsidRPr="007F2E6D">
        <w:rPr>
          <w:lang w:val="es-CO"/>
        </w:rPr>
        <w:t xml:space="preserve"> and </w:t>
      </w:r>
      <w:proofErr w:type="spellStart"/>
      <w:r w:rsidRPr="007F2E6D">
        <w:rPr>
          <w:lang w:val="es-CO"/>
        </w:rPr>
        <w:t>Liabilit</w:t>
      </w:r>
      <w:r>
        <w:rPr>
          <w:lang w:val="es-CO"/>
        </w:rPr>
        <w:t>y</w:t>
      </w:r>
      <w:proofErr w:type="spellEnd"/>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D403B3" w:rsidRPr="00D403B3">
            <w:rPr>
              <w:noProof/>
              <w:lang w:val="es-CO"/>
            </w:rPr>
            <w:t>(Zenios &amp; Ziemba, 2007)</w:t>
          </w:r>
          <w:r w:rsidR="00ED52FA">
            <w:rPr>
              <w:lang w:val="es-CO"/>
            </w:rPr>
            <w:fldChar w:fldCharType="end"/>
          </w:r>
        </w:sdtContent>
      </w:sdt>
      <w:r w:rsidR="00ED52FA">
        <w:rPr>
          <w:lang w:val="es-CO"/>
        </w:rPr>
        <w:t>.</w:t>
      </w:r>
    </w:p>
  </w:footnote>
  <w:footnote w:id="2">
    <w:p w14:paraId="6A7FF315" w14:textId="47E057BB"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a través del portal </w:t>
      </w:r>
      <w:hyperlink r:id="rId1" w:history="1">
        <w:r w:rsidRPr="00D96DCB">
          <w:rPr>
            <w:rStyle w:val="Hipervnculo"/>
            <w:lang w:val="es-CO"/>
          </w:rPr>
          <w:t>www.bvc.com.co</w:t>
        </w:r>
      </w:hyperlink>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0AA65C71"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D403B3" w:rsidRPr="00D403B3">
            <w:rPr>
              <w:noProof/>
              <w:lang w:val="es-CO"/>
            </w:rPr>
            <w:t>(López de Prado, 2020)</w:t>
          </w:r>
          <w:r>
            <w:fldChar w:fldCharType="end"/>
          </w:r>
        </w:sdtContent>
      </w:sdt>
      <w:r w:rsidRPr="00F84F61">
        <w:rPr>
          <w:lang w:val="es-CO"/>
        </w:rPr>
        <w:t xml:space="preserve"> explica e</w:t>
      </w:r>
      <w:r>
        <w:rPr>
          <w:lang w:val="es-CO"/>
        </w:rPr>
        <w:t xml:space="preserve">n su libro como el Machine </w:t>
      </w:r>
      <w:proofErr w:type="spellStart"/>
      <w:r>
        <w:rPr>
          <w:lang w:val="es-CO"/>
        </w:rPr>
        <w:t>Learning</w:t>
      </w:r>
      <w:proofErr w:type="spellEnd"/>
      <w:r>
        <w:rPr>
          <w:lang w:val="es-CO"/>
        </w:rPr>
        <w:t xml:space="preserve"> ha impactado positivamente la gestión de los </w:t>
      </w:r>
      <w:proofErr w:type="spellStart"/>
      <w:r>
        <w:rPr>
          <w:lang w:val="es-CO"/>
        </w:rPr>
        <w:t>asset</w:t>
      </w:r>
      <w:proofErr w:type="spellEnd"/>
      <w:r>
        <w:rPr>
          <w:lang w:val="es-CO"/>
        </w:rPr>
        <w:t xml:space="preserve">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4D60DC9" w14:textId="77777777" w:rsidR="00C85EFC" w:rsidRPr="00F22B2D" w:rsidRDefault="00C85EFC" w:rsidP="00C85EFC">
      <w:pPr>
        <w:pStyle w:val="Textoindependiente"/>
        <w:spacing w:before="195"/>
        <w:ind w:left="120" w:right="124"/>
        <w:jc w:val="both"/>
        <w:rPr>
          <w:rFonts w:ascii="Times New Roman" w:hAnsi="Times New Roman" w:cs="Times New Roman"/>
          <w:sz w:val="20"/>
          <w:szCs w:val="20"/>
        </w:rPr>
      </w:pPr>
      <w:r w:rsidRPr="00F22B2D">
        <w:rPr>
          <w:rStyle w:val="Refdenotaalpie"/>
          <w:rFonts w:ascii="Times New Roman" w:hAnsi="Times New Roman" w:cs="Times New Roman"/>
          <w:sz w:val="20"/>
          <w:szCs w:val="20"/>
        </w:rPr>
        <w:footnoteRef/>
      </w:r>
      <w:r w:rsidRPr="00F22B2D">
        <w:rPr>
          <w:rFonts w:ascii="Times New Roman" w:hAnsi="Times New Roman" w:cs="Times New Roman"/>
          <w:sz w:val="20"/>
          <w:szCs w:val="20"/>
        </w:rPr>
        <w:t xml:space="preserve"> </w:t>
      </w:r>
      <w:r>
        <w:rPr>
          <w:rFonts w:ascii="Times New Roman" w:hAnsi="Times New Roman" w:cs="Times New Roman"/>
          <w:sz w:val="20"/>
          <w:szCs w:val="20"/>
        </w:rPr>
        <w:t>N</w:t>
      </w:r>
      <w:r w:rsidRPr="00F22B2D">
        <w:rPr>
          <w:rFonts w:ascii="Times New Roman" w:hAnsi="Times New Roman" w:cs="Times New Roman"/>
          <w:sz w:val="20"/>
          <w:szCs w:val="20"/>
        </w:rPr>
        <w:t xml:space="preserve">ational government debt </w:t>
      </w:r>
      <w:r>
        <w:rPr>
          <w:rFonts w:ascii="Times New Roman" w:hAnsi="Times New Roman" w:cs="Times New Roman"/>
          <w:sz w:val="20"/>
          <w:szCs w:val="20"/>
        </w:rPr>
        <w:t>bonds</w:t>
      </w:r>
      <w:r w:rsidRPr="00F22B2D">
        <w:rPr>
          <w:rFonts w:ascii="Times New Roman" w:hAnsi="Times New Roman" w:cs="Times New Roman"/>
          <w:sz w:val="20"/>
          <w:szCs w:val="20"/>
        </w:rPr>
        <w:t xml:space="preserve"> (TES) </w:t>
      </w:r>
      <w:r>
        <w:rPr>
          <w:rFonts w:ascii="Times New Roman" w:hAnsi="Times New Roman" w:cs="Times New Roman"/>
          <w:sz w:val="20"/>
          <w:szCs w:val="20"/>
        </w:rPr>
        <w:t xml:space="preserve">are used to </w:t>
      </w:r>
      <w:r w:rsidRPr="00F22B2D">
        <w:rPr>
          <w:rFonts w:ascii="Times New Roman" w:hAnsi="Times New Roman" w:cs="Times New Roman"/>
          <w:sz w:val="20"/>
          <w:szCs w:val="20"/>
        </w:rPr>
        <w:t>financ</w:t>
      </w:r>
      <w:r>
        <w:rPr>
          <w:rFonts w:ascii="Times New Roman" w:hAnsi="Times New Roman" w:cs="Times New Roman"/>
          <w:sz w:val="20"/>
          <w:szCs w:val="20"/>
        </w:rPr>
        <w:t>e</w:t>
      </w:r>
      <w:r w:rsidRPr="00F22B2D">
        <w:rPr>
          <w:rFonts w:ascii="Times New Roman" w:hAnsi="Times New Roman" w:cs="Times New Roman"/>
          <w:sz w:val="20"/>
          <w:szCs w:val="20"/>
        </w:rPr>
        <w:t xml:space="preserve"> the nation</w:t>
      </w:r>
      <w:r>
        <w:rPr>
          <w:rFonts w:ascii="Times New Roman" w:hAnsi="Times New Roman" w:cs="Times New Roman"/>
          <w:sz w:val="20"/>
          <w:szCs w:val="20"/>
        </w:rPr>
        <w:t>’s</w:t>
      </w:r>
      <w:r w:rsidRPr="00F22B2D">
        <w:rPr>
          <w:rFonts w:ascii="Times New Roman" w:hAnsi="Times New Roman" w:cs="Times New Roman"/>
          <w:sz w:val="20"/>
          <w:szCs w:val="20"/>
        </w:rPr>
        <w:t xml:space="preserve"> </w:t>
      </w:r>
      <w:r>
        <w:rPr>
          <w:rFonts w:ascii="Times New Roman" w:hAnsi="Times New Roman" w:cs="Times New Roman"/>
          <w:sz w:val="20"/>
          <w:szCs w:val="20"/>
        </w:rPr>
        <w:t xml:space="preserve">activities </w:t>
      </w:r>
      <w:r w:rsidRPr="00F22B2D">
        <w:rPr>
          <w:rFonts w:ascii="Times New Roman" w:hAnsi="Times New Roman" w:cs="Times New Roman"/>
          <w:sz w:val="20"/>
          <w:szCs w:val="20"/>
        </w:rPr>
        <w:t xml:space="preserve">and the temporary management of treasury operations. </w:t>
      </w:r>
      <w:r>
        <w:rPr>
          <w:rFonts w:ascii="Times New Roman" w:hAnsi="Times New Roman" w:cs="Times New Roman"/>
          <w:sz w:val="20"/>
          <w:szCs w:val="20"/>
        </w:rPr>
        <w:t>Over</w:t>
      </w:r>
      <w:r w:rsidRPr="00F22B2D">
        <w:rPr>
          <w:rFonts w:ascii="Times New Roman" w:hAnsi="Times New Roman" w:cs="Times New Roman"/>
          <w:sz w:val="20"/>
          <w:szCs w:val="20"/>
        </w:rPr>
        <w:t xml:space="preserve"> time, they have become the most representative and </w:t>
      </w:r>
      <w:r>
        <w:rPr>
          <w:rFonts w:ascii="Times New Roman" w:hAnsi="Times New Roman" w:cs="Times New Roman"/>
          <w:sz w:val="20"/>
          <w:szCs w:val="20"/>
        </w:rPr>
        <w:t xml:space="preserve">widely </w:t>
      </w:r>
      <w:r w:rsidRPr="00F22B2D">
        <w:rPr>
          <w:rFonts w:ascii="Times New Roman" w:hAnsi="Times New Roman" w:cs="Times New Roman"/>
          <w:sz w:val="20"/>
          <w:szCs w:val="20"/>
        </w:rPr>
        <w:t>used financial assets in the Colombian market, leveraging the capital markets and savings.</w:t>
      </w:r>
    </w:p>
    <w:p w14:paraId="12DBB768" w14:textId="77777777" w:rsidR="00C85EFC" w:rsidRPr="00F22B2D" w:rsidRDefault="00C85EFC" w:rsidP="00C85EFC">
      <w:pPr>
        <w:pStyle w:val="Textonotapie"/>
      </w:pPr>
    </w:p>
  </w:footnote>
  <w:footnote w:id="5">
    <w:p w14:paraId="1217CD07" w14:textId="77777777" w:rsidR="00C85EFC" w:rsidRPr="002C6D3D" w:rsidRDefault="00C85EFC" w:rsidP="00C85EFC">
      <w:pPr>
        <w:pStyle w:val="Textonotapie"/>
        <w:rPr>
          <w:rFonts w:ascii="Times New Roman" w:hAnsi="Times New Roman" w:cs="Times New Roman"/>
        </w:rPr>
      </w:pPr>
      <w:r w:rsidRPr="002C6D3D">
        <w:rPr>
          <w:rStyle w:val="Refdenotaalpie"/>
          <w:rFonts w:ascii="Times New Roman" w:hAnsi="Times New Roman" w:cs="Times New Roman"/>
        </w:rPr>
        <w:footnoteRef/>
      </w:r>
      <w:r w:rsidRPr="002C6D3D">
        <w:rPr>
          <w:rFonts w:ascii="Times New Roman" w:hAnsi="Times New Roman" w:cs="Times New Roman"/>
        </w:rPr>
        <w:t xml:space="preserve"> A strategy stochastically dominates another one, if the cumulative distribution function (cdf) of its returns is strictly to the right of the other.</w:t>
      </w:r>
    </w:p>
  </w:footnote>
  <w:footnote w:id="6">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7">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5"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6"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8"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5"/>
  </w:num>
  <w:num w:numId="2" w16cid:durableId="748500987">
    <w:abstractNumId w:val="4"/>
  </w:num>
  <w:num w:numId="3" w16cid:durableId="1443526484">
    <w:abstractNumId w:val="6"/>
  </w:num>
  <w:num w:numId="4" w16cid:durableId="392043196">
    <w:abstractNumId w:val="7"/>
  </w:num>
  <w:num w:numId="5" w16cid:durableId="1270044569">
    <w:abstractNumId w:val="2"/>
  </w:num>
  <w:num w:numId="6" w16cid:durableId="1465810705">
    <w:abstractNumId w:val="1"/>
  </w:num>
  <w:num w:numId="7" w16cid:durableId="2125151808">
    <w:abstractNumId w:val="8"/>
  </w:num>
  <w:num w:numId="8" w16cid:durableId="1750695421">
    <w:abstractNumId w:val="3"/>
  </w:num>
  <w:num w:numId="9" w16cid:durableId="113633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6399"/>
    <w:rsid w:val="00043F3C"/>
    <w:rsid w:val="00067C7F"/>
    <w:rsid w:val="000702AF"/>
    <w:rsid w:val="00073B4C"/>
    <w:rsid w:val="000836C6"/>
    <w:rsid w:val="00097FBF"/>
    <w:rsid w:val="000B11A9"/>
    <w:rsid w:val="000B56D6"/>
    <w:rsid w:val="000B5804"/>
    <w:rsid w:val="000C2949"/>
    <w:rsid w:val="000D7C91"/>
    <w:rsid w:val="000E33E6"/>
    <w:rsid w:val="000E4763"/>
    <w:rsid w:val="000F0686"/>
    <w:rsid w:val="00120390"/>
    <w:rsid w:val="001424AC"/>
    <w:rsid w:val="0017504A"/>
    <w:rsid w:val="001752C8"/>
    <w:rsid w:val="0018779C"/>
    <w:rsid w:val="00187CD8"/>
    <w:rsid w:val="00187EAE"/>
    <w:rsid w:val="001B39AC"/>
    <w:rsid w:val="001B5FF0"/>
    <w:rsid w:val="001B7067"/>
    <w:rsid w:val="001B77D7"/>
    <w:rsid w:val="001D1686"/>
    <w:rsid w:val="001E6660"/>
    <w:rsid w:val="001F2D9A"/>
    <w:rsid w:val="002009C8"/>
    <w:rsid w:val="002151E1"/>
    <w:rsid w:val="00216744"/>
    <w:rsid w:val="002167C3"/>
    <w:rsid w:val="00256A87"/>
    <w:rsid w:val="0026728B"/>
    <w:rsid w:val="002808A3"/>
    <w:rsid w:val="00282A15"/>
    <w:rsid w:val="00283C7E"/>
    <w:rsid w:val="0028715F"/>
    <w:rsid w:val="00292EE5"/>
    <w:rsid w:val="002948F7"/>
    <w:rsid w:val="002A166D"/>
    <w:rsid w:val="002A561D"/>
    <w:rsid w:val="002B01FB"/>
    <w:rsid w:val="002C4D65"/>
    <w:rsid w:val="002E0E1A"/>
    <w:rsid w:val="002F2615"/>
    <w:rsid w:val="0030398B"/>
    <w:rsid w:val="00304259"/>
    <w:rsid w:val="0031799E"/>
    <w:rsid w:val="00345184"/>
    <w:rsid w:val="00367586"/>
    <w:rsid w:val="00376AAB"/>
    <w:rsid w:val="00376FF5"/>
    <w:rsid w:val="00384E7E"/>
    <w:rsid w:val="00391DE6"/>
    <w:rsid w:val="00394DFC"/>
    <w:rsid w:val="003E0AD5"/>
    <w:rsid w:val="003E6FAB"/>
    <w:rsid w:val="003F2A1F"/>
    <w:rsid w:val="003F4505"/>
    <w:rsid w:val="00402AA5"/>
    <w:rsid w:val="00431539"/>
    <w:rsid w:val="00444A8B"/>
    <w:rsid w:val="00475EE0"/>
    <w:rsid w:val="004A5B80"/>
    <w:rsid w:val="004A5E8C"/>
    <w:rsid w:val="004E508A"/>
    <w:rsid w:val="004E7D3A"/>
    <w:rsid w:val="004F37E7"/>
    <w:rsid w:val="004F742E"/>
    <w:rsid w:val="00507263"/>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C4537"/>
    <w:rsid w:val="005D06B3"/>
    <w:rsid w:val="006013EE"/>
    <w:rsid w:val="006113B4"/>
    <w:rsid w:val="00613063"/>
    <w:rsid w:val="00620B72"/>
    <w:rsid w:val="006365D4"/>
    <w:rsid w:val="006412A8"/>
    <w:rsid w:val="00663FD5"/>
    <w:rsid w:val="00667B19"/>
    <w:rsid w:val="00674F11"/>
    <w:rsid w:val="006A5032"/>
    <w:rsid w:val="006D2846"/>
    <w:rsid w:val="006E1DB3"/>
    <w:rsid w:val="006F4DEC"/>
    <w:rsid w:val="00717BFB"/>
    <w:rsid w:val="0072425D"/>
    <w:rsid w:val="00736135"/>
    <w:rsid w:val="00750512"/>
    <w:rsid w:val="00750756"/>
    <w:rsid w:val="00761DDA"/>
    <w:rsid w:val="00766594"/>
    <w:rsid w:val="007732FE"/>
    <w:rsid w:val="00781ECC"/>
    <w:rsid w:val="007920AC"/>
    <w:rsid w:val="00795820"/>
    <w:rsid w:val="007960EB"/>
    <w:rsid w:val="007C1940"/>
    <w:rsid w:val="007D36A7"/>
    <w:rsid w:val="007E5179"/>
    <w:rsid w:val="007F2E6D"/>
    <w:rsid w:val="008142EA"/>
    <w:rsid w:val="00820062"/>
    <w:rsid w:val="008215A2"/>
    <w:rsid w:val="00821D2C"/>
    <w:rsid w:val="00823AF1"/>
    <w:rsid w:val="00847C45"/>
    <w:rsid w:val="00883DEE"/>
    <w:rsid w:val="008B7B5A"/>
    <w:rsid w:val="008C52E1"/>
    <w:rsid w:val="008D0BC9"/>
    <w:rsid w:val="008D5845"/>
    <w:rsid w:val="008E40D1"/>
    <w:rsid w:val="008E60ED"/>
    <w:rsid w:val="008E6B46"/>
    <w:rsid w:val="008E6FE9"/>
    <w:rsid w:val="008E7BE4"/>
    <w:rsid w:val="008F01B4"/>
    <w:rsid w:val="008F1E45"/>
    <w:rsid w:val="00907A2E"/>
    <w:rsid w:val="0091646B"/>
    <w:rsid w:val="00926A76"/>
    <w:rsid w:val="009518A3"/>
    <w:rsid w:val="00955E4E"/>
    <w:rsid w:val="0096268F"/>
    <w:rsid w:val="0097305D"/>
    <w:rsid w:val="00991215"/>
    <w:rsid w:val="009A2546"/>
    <w:rsid w:val="009C0384"/>
    <w:rsid w:val="009D68C7"/>
    <w:rsid w:val="009E677C"/>
    <w:rsid w:val="009F1FF2"/>
    <w:rsid w:val="009F51BB"/>
    <w:rsid w:val="009F78E3"/>
    <w:rsid w:val="00A01150"/>
    <w:rsid w:val="00A0277A"/>
    <w:rsid w:val="00A10FB0"/>
    <w:rsid w:val="00A13DB5"/>
    <w:rsid w:val="00A15AAB"/>
    <w:rsid w:val="00A32E95"/>
    <w:rsid w:val="00A34319"/>
    <w:rsid w:val="00A371B8"/>
    <w:rsid w:val="00A53E09"/>
    <w:rsid w:val="00A65B6F"/>
    <w:rsid w:val="00A906B7"/>
    <w:rsid w:val="00A95B30"/>
    <w:rsid w:val="00AA044A"/>
    <w:rsid w:val="00AA2B3C"/>
    <w:rsid w:val="00AB3A7A"/>
    <w:rsid w:val="00AB5B8E"/>
    <w:rsid w:val="00AC708A"/>
    <w:rsid w:val="00AC79BB"/>
    <w:rsid w:val="00AD2520"/>
    <w:rsid w:val="00AD46F9"/>
    <w:rsid w:val="00AE27A0"/>
    <w:rsid w:val="00AF2EFD"/>
    <w:rsid w:val="00B04C93"/>
    <w:rsid w:val="00B411C7"/>
    <w:rsid w:val="00B51AE7"/>
    <w:rsid w:val="00B6174D"/>
    <w:rsid w:val="00BA7A16"/>
    <w:rsid w:val="00BB76EC"/>
    <w:rsid w:val="00BC1065"/>
    <w:rsid w:val="00BE3BC8"/>
    <w:rsid w:val="00C0397C"/>
    <w:rsid w:val="00C03E48"/>
    <w:rsid w:val="00C24E3B"/>
    <w:rsid w:val="00C339CD"/>
    <w:rsid w:val="00C378B5"/>
    <w:rsid w:val="00C657FD"/>
    <w:rsid w:val="00C66901"/>
    <w:rsid w:val="00C6758F"/>
    <w:rsid w:val="00C71A3B"/>
    <w:rsid w:val="00C85EFC"/>
    <w:rsid w:val="00C8625E"/>
    <w:rsid w:val="00C868C2"/>
    <w:rsid w:val="00C92670"/>
    <w:rsid w:val="00CA0217"/>
    <w:rsid w:val="00CA3488"/>
    <w:rsid w:val="00CB2B0B"/>
    <w:rsid w:val="00CC4D72"/>
    <w:rsid w:val="00CD050D"/>
    <w:rsid w:val="00CF1C4C"/>
    <w:rsid w:val="00D02A58"/>
    <w:rsid w:val="00D20354"/>
    <w:rsid w:val="00D27799"/>
    <w:rsid w:val="00D374E7"/>
    <w:rsid w:val="00D403B3"/>
    <w:rsid w:val="00D46FAF"/>
    <w:rsid w:val="00D75DCA"/>
    <w:rsid w:val="00D90BF5"/>
    <w:rsid w:val="00D90CBA"/>
    <w:rsid w:val="00D93113"/>
    <w:rsid w:val="00D9362E"/>
    <w:rsid w:val="00D95435"/>
    <w:rsid w:val="00DB2F73"/>
    <w:rsid w:val="00DE237A"/>
    <w:rsid w:val="00DF47E6"/>
    <w:rsid w:val="00E0403C"/>
    <w:rsid w:val="00E12069"/>
    <w:rsid w:val="00E25A67"/>
    <w:rsid w:val="00E27234"/>
    <w:rsid w:val="00E945DE"/>
    <w:rsid w:val="00EA023E"/>
    <w:rsid w:val="00EA61CE"/>
    <w:rsid w:val="00EB5E60"/>
    <w:rsid w:val="00EC0D6A"/>
    <w:rsid w:val="00EC6EA0"/>
    <w:rsid w:val="00ED1EF5"/>
    <w:rsid w:val="00ED3B53"/>
    <w:rsid w:val="00ED52FA"/>
    <w:rsid w:val="00EE0057"/>
    <w:rsid w:val="00F00D39"/>
    <w:rsid w:val="00F138AB"/>
    <w:rsid w:val="00F25F27"/>
    <w:rsid w:val="00F84DF4"/>
    <w:rsid w:val="00F84F61"/>
    <w:rsid w:val="00F97287"/>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www.elen.ucl.ac.be/Proceedings/esann/esannpdf/es2010-1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footnotes.xml.rels><?xml version="1.0" encoding="UTF-8" standalone="yes"?>
<Relationships xmlns="http://schemas.openxmlformats.org/package/2006/relationships"><Relationship Id="rId1" Type="http://schemas.openxmlformats.org/officeDocument/2006/relationships/hyperlink" Target="http://www.bvc.com.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s>
</file>

<file path=customXml/itemProps1.xml><?xml version="1.0" encoding="utf-8"?>
<ds:datastoreItem xmlns:ds="http://schemas.openxmlformats.org/officeDocument/2006/customXml" ds:itemID="{7455D8EA-D675-4A36-9F45-2B754A8AC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58</Pages>
  <Words>11213</Words>
  <Characters>61675</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Mejia Estrada</cp:lastModifiedBy>
  <cp:revision>10</cp:revision>
  <dcterms:created xsi:type="dcterms:W3CDTF">2023-06-15T04:17:00Z</dcterms:created>
  <dcterms:modified xsi:type="dcterms:W3CDTF">2023-06-18T08:48:00Z</dcterms:modified>
</cp:coreProperties>
</file>