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8464C5">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xml:space="preserve">. </w:t>
      </w:r>
      <w:r w:rsidRPr="00B04C93">
        <w:rPr>
          <w:rFonts w:ascii="Times New Roman" w:hAnsi="Times New Roman" w:cs="Times New Roman"/>
          <w:sz w:val="24"/>
          <w:szCs w:val="24"/>
        </w:rPr>
        <w:lastRenderedPageBreak/>
        <w:t>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015489EF"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68599F" w:rsidRPr="0068599F">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53796C1"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68599F" w:rsidRPr="0068599F">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w:t>
      </w:r>
      <w:r w:rsidR="00883DEE">
        <w:rPr>
          <w:rFonts w:ascii="Times New Roman" w:hAnsi="Times New Roman" w:cs="Times New Roman"/>
          <w:sz w:val="24"/>
          <w:szCs w:val="24"/>
          <w:lang w:val="es-CO"/>
        </w:rPr>
        <w:lastRenderedPageBreak/>
        <w:t>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4B07761B"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68599F" w:rsidRPr="0068599F">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68599F" w:rsidRPr="0068599F">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68599F" w:rsidRPr="0068599F">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56466B31"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68599F" w:rsidRPr="0068599F">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68599F" w:rsidRPr="0068599F">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68599F" w:rsidRPr="0068599F">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68599F" w:rsidRPr="0068599F">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7670F568"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68599F" w:rsidRPr="0068599F">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68599F" w:rsidRPr="0068599F">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68599F" w:rsidRPr="0068599F">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68599F" w:rsidRPr="0068599F">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68599F" w:rsidRPr="0068599F">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68599F" w:rsidRPr="0068599F">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70C99DD7"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68599F" w:rsidRPr="0068599F">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68599F" w:rsidRPr="0068599F">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40744624"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68599F" w:rsidRPr="0068599F">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xml:space="preserve">, cuyo principal propósito era crear algoritmos de optimización con capacidad de adaptarse a nuevos estados dentro de un espacio de posibilidades de esos </w:t>
      </w:r>
      <w:r w:rsidR="001F7171">
        <w:rPr>
          <w:rFonts w:ascii="Times New Roman" w:hAnsi="Times New Roman" w:cs="Times New Roman"/>
          <w:lang w:val="es-CO"/>
        </w:rPr>
        <w:lastRenderedPageBreak/>
        <w:t>estados</w:t>
      </w:r>
      <w:r w:rsidR="002E1DB7">
        <w:rPr>
          <w:rFonts w:ascii="Times New Roman" w:hAnsi="Times New Roman" w:cs="Times New Roman"/>
          <w:lang w:val="es-CO"/>
        </w:rPr>
        <w:t>, haciendo un símil con la naturaleza humana del constante aprendizaje.</w:t>
      </w:r>
    </w:p>
    <w:p w14:paraId="6EC866B9" w14:textId="1A14E2CB"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1545CF80"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68599F" w:rsidRPr="0068599F">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5B51A983"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xml:space="preserve">, se muestra como las decisiones tomadas por el agente convergen a las acciones óptimas cuando se realiza el mapeo completo de los estados y premios posibles al utilizar </w:t>
      </w:r>
      <w:r w:rsidR="00B27A61">
        <w:rPr>
          <w:rFonts w:ascii="Times New Roman" w:hAnsi="Times New Roman" w:cs="Times New Roman"/>
          <w:lang w:val="es-CO"/>
        </w:rPr>
        <w:lastRenderedPageBreak/>
        <w:t>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37A8FD56"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4FAB6C0B"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68599F" w:rsidRPr="0068599F">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68599F" w:rsidRPr="0068599F">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68599F" w:rsidRPr="0068599F">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68599F" w:rsidRPr="0068599F">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20594F6A"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w:t>
      </w:r>
      <w:r w:rsidR="00916E7F">
        <w:rPr>
          <w:rFonts w:ascii="Times New Roman" w:hAnsi="Times New Roman" w:cs="Times New Roman"/>
          <w:lang w:val="es-CO"/>
        </w:rPr>
        <w:lastRenderedPageBreak/>
        <w:t xml:space="preserve">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68599F" w:rsidRPr="0068599F">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5CCE4D63"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4EBD36D8"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68599F" w:rsidRPr="0068599F">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543223CA"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68599F" w:rsidRPr="0068599F">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3B0350D5"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68599F" w:rsidRPr="0068599F">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68599F" w:rsidRPr="0068599F">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w:t>
      </w:r>
      <w:r w:rsidR="00221F47">
        <w:rPr>
          <w:rFonts w:ascii="Times New Roman" w:hAnsi="Times New Roman" w:cs="Times New Roman"/>
          <w:lang w:val="es-CO"/>
        </w:rPr>
        <w:lastRenderedPageBreak/>
        <w:t>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aprendizaje por refuerzo</w:t>
      </w:r>
      <w:r w:rsidRPr="00A65B6F">
        <w:rPr>
          <w:rFonts w:ascii="Times New Roman" w:hAnsi="Times New Roman" w:cs="Times New Roman"/>
          <w:lang w:val="es-CO"/>
        </w:rPr>
        <w:t xml:space="preserve"> y redes neuronales básicas y los métodos convencionales de comprar y mantener.</w:t>
      </w:r>
    </w:p>
    <w:p w14:paraId="40BAB7DC" w14:textId="21948A16"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68599F" w:rsidRPr="0068599F">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B133C04"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68599F" w:rsidRPr="0068599F">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68599F" w:rsidRPr="0068599F">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68599F" w:rsidRPr="0068599F">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0CA9BFC1" w14:textId="746CB6B4" w:rsidR="00C90E8B"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68599F">
            <w:rPr>
              <w:rFonts w:ascii="Times New Roman" w:hAnsi="Times New Roman" w:cs="Times New Roman"/>
              <w:noProof/>
              <w:lang w:val="es-CO"/>
            </w:rPr>
            <w:t xml:space="preserve"> </w:t>
          </w:r>
          <w:r w:rsidR="0068599F" w:rsidRPr="0068599F">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55460CE6"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4BE25D1D" w:rsidR="00C85437"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Sin embargo, con los años aparecieron problemas de mayor envergadura, y con la aparición de las redes neuronales profundas, los algoritmos RL comienzan a ser más complejos, eficientes y útiles para resolver los problemas más</w:t>
      </w:r>
      <w:r w:rsidR="008464C5">
        <w:rPr>
          <w:rFonts w:ascii="Times New Roman" w:hAnsi="Times New Roman" w:cs="Times New Roman"/>
          <w:lang w:val="es-CO"/>
        </w:rPr>
        <w:t xml:space="preserve">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C90E8B">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78830247"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68599F" w:rsidRPr="0068599F">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26A5DF9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68599F" w:rsidRPr="0068599F">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0BB0B02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076D2041"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68599F" w:rsidRPr="0068599F">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68599F" w:rsidRPr="0068599F">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7CEA2032"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68599F" w:rsidRPr="0068599F">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68599F" w:rsidRPr="0068599F">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7031DDBA"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68599F" w:rsidRPr="0068599F">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144BFB20"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11104C11" w:rsidR="007959A4" w:rsidRPr="007959A4" w:rsidRDefault="00295FFC" w:rsidP="007959A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w:t>
      </w:r>
      <w:r w:rsidR="007959A4">
        <w:rPr>
          <w:rFonts w:ascii="Times New Roman" w:hAnsi="Times New Roman" w:cs="Times New Roman"/>
          <w:lang w:val="es-CO"/>
        </w:rPr>
        <w:t xml:space="preserve"> Actor-Cr</w:t>
      </w:r>
      <w:r>
        <w:rPr>
          <w:rFonts w:ascii="Times New Roman" w:hAnsi="Times New Roman" w:cs="Times New Roman"/>
          <w:lang w:val="es-CO"/>
        </w:rPr>
        <w:t>í</w:t>
      </w:r>
      <w:r w:rsidR="007959A4">
        <w:rPr>
          <w:rFonts w:ascii="Times New Roman" w:hAnsi="Times New Roman" w:cs="Times New Roman"/>
          <w:lang w:val="es-CO"/>
        </w:rPr>
        <w:t>tic</w:t>
      </w:r>
      <w:r>
        <w:rPr>
          <w:rFonts w:ascii="Times New Roman" w:hAnsi="Times New Roman" w:cs="Times New Roman"/>
          <w:lang w:val="es-CO"/>
        </w:rPr>
        <w:t>o</w:t>
      </w:r>
    </w:p>
    <w:p w14:paraId="5558E2AF" w14:textId="18C2666E" w:rsidR="00295FFC"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Estos métodos son la combinación de algoritmos comunes de </w:t>
      </w:r>
      <w:r>
        <w:rPr>
          <w:rFonts w:ascii="Times New Roman" w:hAnsi="Times New Roman" w:cs="Times New Roman"/>
          <w:lang w:val="es-CO"/>
        </w:rPr>
        <w:t>Aprendizaje por Refuerzo</w:t>
      </w:r>
      <w:r w:rsidRPr="00295FFC">
        <w:rPr>
          <w:rFonts w:ascii="Times New Roman" w:hAnsi="Times New Roman" w:cs="Times New Roman"/>
          <w:lang w:val="es-CO"/>
        </w:rPr>
        <w:t xml:space="preserve"> basados en políticas (sólo actor) con algoritmos</w:t>
      </w:r>
      <w:r>
        <w:rPr>
          <w:rFonts w:ascii="Times New Roman" w:hAnsi="Times New Roman" w:cs="Times New Roman"/>
          <w:lang w:val="es-CO"/>
        </w:rPr>
        <w:t xml:space="preserve"> basados en la Función de Valor del Estado</w:t>
      </w:r>
      <w:r w:rsidRPr="00295FFC">
        <w:rPr>
          <w:rFonts w:ascii="Times New Roman" w:hAnsi="Times New Roman" w:cs="Times New Roman"/>
          <w:lang w:val="es-CO"/>
        </w:rPr>
        <w:t xml:space="preserve"> (sólo crítico). De este modo, los algoritmos actor-crítico optimizan utilizando la política, pero teniendo en cuenta la función de valor implícita crítico</w:t>
      </w:r>
    </w:p>
    <w:p w14:paraId="0C92D656" w14:textId="72815232" w:rsidR="00C82445" w:rsidRDefault="007959A4"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68599F" w:rsidRPr="0068599F">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65B2324A" w:rsidR="00E3135D" w:rsidRDefault="00C82445"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V(s)</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71567FF7" w:rsidR="00E3135D" w:rsidRPr="00295FFC" w:rsidRDefault="00295FFC" w:rsidP="00E3135D">
      <w:pPr>
        <w:pStyle w:val="Textoindependiente"/>
        <w:numPr>
          <w:ilvl w:val="0"/>
          <w:numId w:val="16"/>
        </w:numPr>
        <w:spacing w:before="195" w:after="240" w:line="360" w:lineRule="auto"/>
        <w:ind w:right="124"/>
        <w:jc w:val="both"/>
        <w:rPr>
          <w:rFonts w:ascii="Times New Roman" w:hAnsi="Times New Roman" w:cs="Times New Roman"/>
          <w:lang w:val="es-CO"/>
        </w:rPr>
      </w:pPr>
      <w:r w:rsidRPr="00295FFC">
        <w:rPr>
          <w:rFonts w:ascii="Times New Roman" w:hAnsi="Times New Roman" w:cs="Times New Roman"/>
          <w:lang w:val="es-CO"/>
        </w:rPr>
        <w:t>Métodos de Gradiente de P</w:t>
      </w:r>
      <w:r>
        <w:rPr>
          <w:rFonts w:ascii="Times New Roman" w:hAnsi="Times New Roman" w:cs="Times New Roman"/>
          <w:lang w:val="es-CO"/>
        </w:rPr>
        <w:t xml:space="preserve">olítica Determinístico: </w:t>
      </w:r>
    </w:p>
    <w:p w14:paraId="6738B0E9" w14:textId="797B8E8F" w:rsidR="00357BDC" w:rsidRPr="00D833B1" w:rsidRDefault="00357BDC" w:rsidP="00C90E8B">
      <w:pPr>
        <w:pStyle w:val="Textoindependiente"/>
        <w:spacing w:before="195" w:line="360" w:lineRule="auto"/>
        <w:ind w:left="480" w:right="124"/>
        <w:jc w:val="both"/>
        <w:rPr>
          <w:rFonts w:ascii="Times New Roman" w:hAnsi="Times New Roman" w:cs="Times New Roman"/>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w:t>
      </w:r>
      <w:r w:rsidRPr="00D833B1">
        <w:rPr>
          <w:rFonts w:ascii="Times New Roman" w:hAnsi="Times New Roman" w:cs="Times New Roman"/>
          <w:lang w:val="es-CO"/>
        </w:rPr>
        <w:t xml:space="preserve">minimizar el error total o maximizar la recompensa esperada </w:t>
      </w:r>
      <w:sdt>
        <w:sdtPr>
          <w:rPr>
            <w:rFonts w:ascii="Times New Roman" w:hAnsi="Times New Roman" w:cs="Times New Roman"/>
            <w:lang w:val="es-CO"/>
          </w:rPr>
          <w:id w:val="1099301179"/>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Sil14 \l 9226 </w:instrText>
          </w:r>
          <w:r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(Silver y otros, 2014)</w:t>
          </w:r>
          <w:r w:rsidRPr="00D833B1">
            <w:rPr>
              <w:rFonts w:ascii="Times New Roman" w:hAnsi="Times New Roman" w:cs="Times New Roman"/>
              <w:lang w:val="es-CO"/>
            </w:rPr>
            <w:fldChar w:fldCharType="end"/>
          </w:r>
        </w:sdtContent>
      </w:sdt>
      <w:r w:rsidR="00E33E9C" w:rsidRPr="00D833B1">
        <w:rPr>
          <w:rFonts w:ascii="Times New Roman" w:hAnsi="Times New Roman" w:cs="Times New Roman"/>
          <w:lang w:val="es-CO"/>
        </w:rPr>
        <w:t xml:space="preserve">. </w:t>
      </w:r>
    </w:p>
    <w:p w14:paraId="38DF7B15" w14:textId="04A8F37E" w:rsidR="00E33E9C" w:rsidRPr="00D833B1" w:rsidRDefault="00E33E9C" w:rsidP="00C90E8B">
      <w:pPr>
        <w:pStyle w:val="Textoindependiente"/>
        <w:spacing w:before="195"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DDPG, es un algoritmo de gradiente de política que no utiliza funciones de probabilidad sobre variables continuas. En cambio, </w:t>
      </w:r>
      <w:r w:rsidR="003E4648" w:rsidRPr="00D833B1">
        <w:rPr>
          <w:rFonts w:ascii="Times New Roman" w:hAnsi="Times New Roman" w:cs="Times New Roman"/>
          <w:lang w:val="es-CO"/>
        </w:rPr>
        <w:t>también permite</w:t>
      </w:r>
      <w:r w:rsidRPr="00D833B1">
        <w:rPr>
          <w:rFonts w:ascii="Times New Roman" w:hAnsi="Times New Roman" w:cs="Times New Roman"/>
          <w:lang w:val="es-CO"/>
        </w:rPr>
        <w:t xml:space="preserve"> optimizar el gradiente</w:t>
      </w:r>
      <w:r w:rsidR="001D453E" w:rsidRPr="00D833B1">
        <w:rPr>
          <w:rFonts w:ascii="Times New Roman" w:hAnsi="Times New Roman" w:cs="Times New Roman"/>
          <w:lang w:val="es-CO"/>
        </w:rPr>
        <w:t xml:space="preserve"> de política, ecuación (4), </w:t>
      </w:r>
      <w:r w:rsidRPr="00D833B1">
        <w:rPr>
          <w:rFonts w:ascii="Times New Roman" w:hAnsi="Times New Roman" w:cs="Times New Roman"/>
          <w:lang w:val="es-CO"/>
        </w:rPr>
        <w:t xml:space="preserve"> teniendo en cuenta un número de acciones posibles finitas y determinísticas</w:t>
      </w:r>
      <w:r w:rsidR="001D453E" w:rsidRPr="00D833B1">
        <w:rPr>
          <w:rFonts w:ascii="Times New Roman" w:hAnsi="Times New Roman" w:cs="Times New Roman"/>
          <w:lang w:val="es-CO"/>
        </w:rPr>
        <w:t xml:space="preserve"> para una función objetivo de retorno J, ecuación (5) </w:t>
      </w:r>
      <w:sdt>
        <w:sdtPr>
          <w:rPr>
            <w:rFonts w:ascii="Times New Roman" w:hAnsi="Times New Roman" w:cs="Times New Roman"/>
            <w:lang w:val="es-CO"/>
          </w:rPr>
          <w:id w:val="2005089864"/>
          <w:citation/>
        </w:sdtPr>
        <w:sdtContent>
          <w:r w:rsidR="00F3429E" w:rsidRPr="00D833B1">
            <w:rPr>
              <w:rFonts w:ascii="Times New Roman" w:hAnsi="Times New Roman" w:cs="Times New Roman"/>
              <w:lang w:val="es-CO"/>
            </w:rPr>
            <w:fldChar w:fldCharType="begin"/>
          </w:r>
          <w:r w:rsidR="00F3429E" w:rsidRPr="00D833B1">
            <w:rPr>
              <w:rFonts w:ascii="Times New Roman" w:hAnsi="Times New Roman" w:cs="Times New Roman"/>
              <w:lang w:val="es-CO"/>
            </w:rPr>
            <w:instrText xml:space="preserve"> CITATION LiS19 \l 9226 </w:instrText>
          </w:r>
          <w:r w:rsidR="00F3429E"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(Li y otros, 2019)</w:t>
          </w:r>
          <w:r w:rsidR="00F3429E" w:rsidRPr="00D833B1">
            <w:rPr>
              <w:rFonts w:ascii="Times New Roman" w:hAnsi="Times New Roman" w:cs="Times New Roman"/>
              <w:lang w:val="es-CO"/>
            </w:rPr>
            <w:fldChar w:fldCharType="end"/>
          </w:r>
        </w:sdtContent>
      </w:sdt>
      <w:r w:rsidR="00016703" w:rsidRPr="00D833B1">
        <w:rPr>
          <w:rFonts w:ascii="Times New Roman" w:hAnsi="Times New Roman" w:cs="Times New Roman"/>
          <w:lang w:val="es-CO"/>
        </w:rPr>
        <w:t xml:space="preserve">, lo que representa una ventaja, específicamente, para los problemas </w:t>
      </w:r>
      <w:r w:rsidR="00016703" w:rsidRPr="00D833B1">
        <w:rPr>
          <w:rFonts w:ascii="Times New Roman" w:hAnsi="Times New Roman" w:cs="Times New Roman"/>
          <w:lang w:val="es-CO"/>
        </w:rPr>
        <w:lastRenderedPageBreak/>
        <w:t>relacionados con trading, debido a que las acciones que el agente actor puede tomar cumplen esa condición determinística: Compra, venta, mantener la posición,</w:t>
      </w:r>
      <w:r w:rsidRPr="00D833B1">
        <w:rPr>
          <w:rFonts w:ascii="Times New Roman" w:hAnsi="Times New Roman" w:cs="Times New Roman"/>
          <w:lang w:val="es-CO"/>
        </w:rPr>
        <w:t xml:space="preserve"> </w:t>
      </w:r>
      <w:r w:rsidR="00016703" w:rsidRPr="00D833B1">
        <w:rPr>
          <w:rFonts w:ascii="Times New Roman" w:hAnsi="Times New Roman" w:cs="Times New Roman"/>
          <w:lang w:val="es-CO"/>
        </w:rPr>
        <w:t xml:space="preserve">entre otras que puedan plantearse </w:t>
      </w:r>
      <w:sdt>
        <w:sdtPr>
          <w:rPr>
            <w:rFonts w:ascii="Times New Roman" w:hAnsi="Times New Roman" w:cs="Times New Roman"/>
            <w:lang w:val="es-CO"/>
          </w:rPr>
          <w:id w:val="543867827"/>
          <w:citation/>
        </w:sdtPr>
        <w:sdtContent>
          <w:r w:rsidR="000D6FB2" w:rsidRPr="00D833B1">
            <w:rPr>
              <w:rFonts w:ascii="Times New Roman" w:hAnsi="Times New Roman" w:cs="Times New Roman"/>
              <w:lang w:val="es-CO"/>
            </w:rPr>
            <w:fldChar w:fldCharType="begin"/>
          </w:r>
          <w:r w:rsidR="000D6FB2" w:rsidRPr="00D833B1">
            <w:rPr>
              <w:rFonts w:ascii="Times New Roman" w:hAnsi="Times New Roman" w:cs="Times New Roman"/>
              <w:lang w:val="es-CO"/>
            </w:rPr>
            <w:instrText xml:space="preserve"> CITATION Yan20 \l 9226 </w:instrText>
          </w:r>
          <w:r w:rsidR="000D6FB2"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(Yang y otros, 2020)</w:t>
          </w:r>
          <w:r w:rsidR="000D6FB2" w:rsidRPr="00D833B1">
            <w:rPr>
              <w:rFonts w:ascii="Times New Roman" w:hAnsi="Times New Roman" w:cs="Times New Roman"/>
              <w:lang w:val="es-CO"/>
            </w:rPr>
            <w:fldChar w:fldCharType="end"/>
          </w:r>
        </w:sdtContent>
      </w:sdt>
      <w:r w:rsidR="000D6FB2" w:rsidRPr="00D833B1">
        <w:rPr>
          <w:rFonts w:ascii="Times New Roman" w:hAnsi="Times New Roman" w:cs="Times New Roman"/>
          <w:lang w:val="es-CO"/>
        </w:rPr>
        <w:t>.</w:t>
      </w:r>
    </w:p>
    <w:p w14:paraId="2366665E" w14:textId="02F62F39" w:rsidR="001E749E" w:rsidRDefault="00295FFC" w:rsidP="00D833B1">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Basados en Regiones de Confianza:</w:t>
      </w:r>
    </w:p>
    <w:p w14:paraId="3F5BF9F9" w14:textId="7E63778F" w:rsidR="00295FFC" w:rsidRPr="00F42E28"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Mientras se entrena un algoritmo </w:t>
      </w:r>
      <w:r>
        <w:rPr>
          <w:rFonts w:ascii="Times New Roman" w:hAnsi="Times New Roman" w:cs="Times New Roman"/>
          <w:lang w:val="es-CO"/>
        </w:rPr>
        <w:t>Aprendizaje automático</w:t>
      </w:r>
      <w:r w:rsidRPr="00295FFC">
        <w:rPr>
          <w:rFonts w:ascii="Times New Roman" w:hAnsi="Times New Roman" w:cs="Times New Roman"/>
          <w:lang w:val="es-CO"/>
        </w:rPr>
        <w:t xml:space="preserve">, podrían existir </w:t>
      </w:r>
      <w:r>
        <w:rPr>
          <w:rFonts w:ascii="Times New Roman" w:hAnsi="Times New Roman" w:cs="Times New Roman"/>
          <w:lang w:val="es-CO"/>
        </w:rPr>
        <w:t>iteraciones</w:t>
      </w:r>
      <w:r w:rsidRPr="00295FFC">
        <w:rPr>
          <w:rFonts w:ascii="Times New Roman" w:hAnsi="Times New Roman" w:cs="Times New Roman"/>
          <w:lang w:val="es-CO"/>
        </w:rPr>
        <w:t xml:space="preserve"> de diferente longitud para los conjuntos de datos de entrenamiento en los que la política de cada </w:t>
      </w:r>
      <w:r>
        <w:rPr>
          <w:rFonts w:ascii="Times New Roman" w:hAnsi="Times New Roman" w:cs="Times New Roman"/>
          <w:lang w:val="es-CO"/>
        </w:rPr>
        <w:t>iteración</w:t>
      </w:r>
      <w:r w:rsidRPr="00295FFC">
        <w:rPr>
          <w:rFonts w:ascii="Times New Roman" w:hAnsi="Times New Roman" w:cs="Times New Roman"/>
          <w:lang w:val="es-CO"/>
        </w:rPr>
        <w:t xml:space="preserve"> podría ser diferente</w:t>
      </w:r>
      <w:r>
        <w:rPr>
          <w:rFonts w:ascii="Times New Roman" w:hAnsi="Times New Roman" w:cs="Times New Roman"/>
          <w:lang w:val="es-CO"/>
        </w:rPr>
        <w:t xml:space="preserve"> </w:t>
      </w:r>
      <w:r w:rsidRPr="00295FFC">
        <w:rPr>
          <w:rFonts w:ascii="Times New Roman" w:hAnsi="Times New Roman" w:cs="Times New Roman"/>
          <w:lang w:val="es-CO"/>
        </w:rPr>
        <w:t>de otr</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iteración</w:t>
      </w:r>
      <w:r w:rsidRPr="00295FFC">
        <w:rPr>
          <w:rFonts w:ascii="Times New Roman" w:hAnsi="Times New Roman" w:cs="Times New Roman"/>
          <w:lang w:val="es-CO"/>
        </w:rPr>
        <w:t>.</w:t>
      </w:r>
      <w:r>
        <w:rPr>
          <w:rFonts w:ascii="Times New Roman" w:hAnsi="Times New Roman" w:cs="Times New Roman"/>
          <w:lang w:val="es-CO"/>
        </w:rPr>
        <w:t xml:space="preserve"> </w:t>
      </w:r>
      <w:r w:rsidRPr="00295FFC">
        <w:rPr>
          <w:rFonts w:ascii="Times New Roman" w:hAnsi="Times New Roman" w:cs="Times New Roman"/>
          <w:lang w:val="es-CO"/>
        </w:rPr>
        <w:t>La longitud óptima de l</w:t>
      </w:r>
      <w:r>
        <w:rPr>
          <w:rFonts w:ascii="Times New Roman" w:hAnsi="Times New Roman" w:cs="Times New Roman"/>
          <w:lang w:val="es-CO"/>
        </w:rPr>
        <w:t>a</w:t>
      </w:r>
      <w:r w:rsidRPr="00295FFC">
        <w:rPr>
          <w:rFonts w:ascii="Times New Roman" w:hAnsi="Times New Roman" w:cs="Times New Roman"/>
          <w:lang w:val="es-CO"/>
        </w:rPr>
        <w:t xml:space="preserve">s </w:t>
      </w:r>
      <w:r>
        <w:rPr>
          <w:rFonts w:ascii="Times New Roman" w:hAnsi="Times New Roman" w:cs="Times New Roman"/>
          <w:lang w:val="es-CO"/>
        </w:rPr>
        <w:t xml:space="preserve">iteraciones </w:t>
      </w:r>
      <w:r w:rsidRPr="00295FFC">
        <w:rPr>
          <w:rFonts w:ascii="Times New Roman" w:hAnsi="Times New Roman" w:cs="Times New Roman"/>
          <w:lang w:val="es-CO"/>
        </w:rPr>
        <w:t xml:space="preserve">es aquella en la que las políticas </w:t>
      </w:r>
      <w:r>
        <w:rPr>
          <w:rFonts w:ascii="Times New Roman" w:hAnsi="Times New Roman" w:cs="Times New Roman"/>
          <w:lang w:val="es-CO"/>
        </w:rPr>
        <w:t>convergen o tienen bastante similitud entre</w:t>
      </w:r>
      <w:r w:rsidRPr="00295FFC">
        <w:rPr>
          <w:rFonts w:ascii="Times New Roman" w:hAnsi="Times New Roman" w:cs="Times New Roman"/>
          <w:lang w:val="es-CO"/>
        </w:rPr>
        <w:t xml:space="preserve"> un</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 xml:space="preserve">iteración </w:t>
      </w:r>
      <w:r w:rsidRPr="00295FFC">
        <w:rPr>
          <w:rFonts w:ascii="Times New Roman" w:hAnsi="Times New Roman" w:cs="Times New Roman"/>
          <w:lang w:val="es-CO"/>
        </w:rPr>
        <w:t>y otr</w:t>
      </w:r>
      <w:r>
        <w:rPr>
          <w:rFonts w:ascii="Times New Roman" w:hAnsi="Times New Roman" w:cs="Times New Roman"/>
          <w:lang w:val="es-CO"/>
        </w:rPr>
        <w:t>a</w:t>
      </w:r>
      <w:r w:rsidRPr="00295FFC">
        <w:rPr>
          <w:rFonts w:ascii="Times New Roman" w:hAnsi="Times New Roman" w:cs="Times New Roman"/>
          <w:lang w:val="es-CO"/>
        </w:rPr>
        <w:t>. Los métodos basados en regiones de confianza</w:t>
      </w:r>
      <w:r>
        <w:rPr>
          <w:rFonts w:ascii="Times New Roman" w:hAnsi="Times New Roman" w:cs="Times New Roman"/>
          <w:lang w:val="es-CO"/>
        </w:rPr>
        <w:t xml:space="preserve"> buscan m</w:t>
      </w:r>
      <w:r w:rsidRPr="00295FFC">
        <w:rPr>
          <w:rFonts w:ascii="Times New Roman" w:hAnsi="Times New Roman" w:cs="Times New Roman"/>
          <w:lang w:val="es-CO"/>
        </w:rPr>
        <w:t>ejorar la estabilidad del entrenamiento entre pasos, de forma que las políticas entre un paso y otro no diverjan mucho</w:t>
      </w:r>
      <w:r>
        <w:rPr>
          <w:rFonts w:ascii="Times New Roman" w:hAnsi="Times New Roman" w:cs="Times New Roman"/>
          <w:lang w:val="es-CO"/>
        </w:rPr>
        <w:t xml:space="preserve"> </w:t>
      </w:r>
      <w:sdt>
        <w:sdtPr>
          <w:rPr>
            <w:rFonts w:ascii="Times New Roman" w:hAnsi="Times New Roman" w:cs="Times New Roman"/>
            <w:lang w:val="es-CO"/>
          </w:rPr>
          <w:id w:val="1322843628"/>
          <w:citation/>
        </w:sdtPr>
        <w:sdtContent>
          <w:r w:rsidR="00D833B1">
            <w:rPr>
              <w:rFonts w:ascii="Times New Roman" w:hAnsi="Times New Roman" w:cs="Times New Roman"/>
              <w:lang w:val="es-CO"/>
            </w:rPr>
            <w:fldChar w:fldCharType="begin"/>
          </w:r>
          <w:r w:rsidR="00D833B1">
            <w:rPr>
              <w:rFonts w:ascii="Times New Roman" w:hAnsi="Times New Roman" w:cs="Times New Roman"/>
              <w:lang w:val="es-CO"/>
            </w:rPr>
            <w:instrText xml:space="preserve"> CITATION Sch15 \l 9226 </w:instrText>
          </w:r>
          <w:r w:rsid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(Schulman y otros, 2015)</w:t>
          </w:r>
          <w:r w:rsidR="00D833B1">
            <w:rPr>
              <w:rFonts w:ascii="Times New Roman" w:hAnsi="Times New Roman" w:cs="Times New Roman"/>
              <w:lang w:val="es-CO"/>
            </w:rPr>
            <w:fldChar w:fldCharType="end"/>
          </w:r>
        </w:sdtContent>
      </w:sdt>
      <w:r>
        <w:rPr>
          <w:rFonts w:ascii="Times New Roman" w:hAnsi="Times New Roman" w:cs="Times New Roman"/>
          <w:lang w:val="es-CO"/>
        </w:rPr>
        <w:t>.</w:t>
      </w:r>
    </w:p>
    <w:p w14:paraId="71A40303" w14:textId="66014A39" w:rsidR="001E749E" w:rsidRPr="00D833B1" w:rsidRDefault="00F42E28"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Los algoritmos PPO, descritos en </w:t>
      </w:r>
      <w:sdt>
        <w:sdtPr>
          <w:rPr>
            <w:rFonts w:ascii="Times New Roman" w:hAnsi="Times New Roman" w:cs="Times New Roman"/>
            <w:lang w:val="es-CO"/>
          </w:rPr>
          <w:id w:val="-245583143"/>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Sch171 \l 9226 </w:instrText>
          </w:r>
          <w:r w:rsidRPr="00D833B1">
            <w:rPr>
              <w:rFonts w:ascii="Times New Roman" w:hAnsi="Times New Roman" w:cs="Times New Roman"/>
              <w:lang w:val="es-CO"/>
            </w:rPr>
            <w:fldChar w:fldCharType="separate"/>
          </w:r>
          <w:r w:rsidR="0068599F" w:rsidRPr="0068599F">
            <w:rPr>
              <w:rFonts w:ascii="Times New Roman" w:hAnsi="Times New Roman" w:cs="Times New Roman"/>
              <w:noProof/>
              <w:lang w:val="es-CO"/>
            </w:rPr>
            <w:t>(Schulman y otros, 2017)</w:t>
          </w:r>
          <w:r w:rsidRPr="00D833B1">
            <w:rPr>
              <w:rFonts w:ascii="Times New Roman" w:hAnsi="Times New Roman" w:cs="Times New Roman"/>
              <w:lang w:val="es-CO"/>
            </w:rPr>
            <w:fldChar w:fldCharType="end"/>
          </w:r>
        </w:sdtContent>
      </w:sdt>
      <w:r w:rsidRPr="00D833B1">
        <w:rPr>
          <w:rFonts w:ascii="Times New Roman" w:hAnsi="Times New Roman" w:cs="Times New Roman"/>
          <w:lang w:val="es-CO"/>
        </w:rPr>
        <w:t xml:space="preserve"> son algoritmos de </w:t>
      </w:r>
      <w:r w:rsidR="00FA488C" w:rsidRPr="00D833B1">
        <w:rPr>
          <w:rFonts w:ascii="Times New Roman" w:hAnsi="Times New Roman" w:cs="Times New Roman"/>
          <w:lang w:val="es-CO"/>
        </w:rPr>
        <w:t xml:space="preserve">gradiente de política </w:t>
      </w:r>
      <w:r w:rsidR="00F71B6F" w:rsidRPr="00D833B1">
        <w:rPr>
          <w:rFonts w:ascii="Times New Roman" w:hAnsi="Times New Roman" w:cs="Times New Roman"/>
          <w:lang w:val="es-CO"/>
        </w:rPr>
        <w:t>y basados</w:t>
      </w:r>
      <w:r w:rsidR="00DC6F0F">
        <w:rPr>
          <w:rFonts w:ascii="Times New Roman" w:hAnsi="Times New Roman" w:cs="Times New Roman"/>
          <w:lang w:val="es-CO"/>
        </w:rPr>
        <w:t xml:space="preserve"> en regiones de confianza</w:t>
      </w:r>
      <w:r w:rsidR="00F71B6F" w:rsidRPr="00D833B1">
        <w:rPr>
          <w:rFonts w:ascii="Times New Roman" w:hAnsi="Times New Roman" w:cs="Times New Roman"/>
          <w:lang w:val="es-CO"/>
        </w:rPr>
        <w:t xml:space="preserve"> </w:t>
      </w:r>
      <w:r w:rsidR="00916A40" w:rsidRPr="00D833B1">
        <w:rPr>
          <w:rFonts w:ascii="Times New Roman" w:hAnsi="Times New Roman" w:cs="Times New Roman"/>
          <w:lang w:val="es-CO"/>
        </w:rPr>
        <w:t xml:space="preserve">que buscan mantener controlada la actualización de la política a través del tiempo, es decir, en cada iteración, de manera que una nueva política en un estado específico no sea sustancialmente diferente a la política de la iteración pasada, logrando una mejor estabilidad en la función objetivo. Para ello, se introduce dentro de la función objetivo, ecuación (6), </w:t>
      </w:r>
      <w:r w:rsidR="000C77F4" w:rsidRPr="00D833B1">
        <w:rPr>
          <w:rFonts w:ascii="Times New Roman" w:hAnsi="Times New Roman" w:cs="Times New Roman"/>
          <w:lang w:val="es-CO"/>
        </w:rPr>
        <w:t>una relación entre la política nueva y la antigua, ecuación (7), que ponderará la función de ventaja estimada para la nueva política.</w:t>
      </w:r>
    </w:p>
    <w:p w14:paraId="58DEBFE3" w14:textId="64811EFC" w:rsidR="001D453E" w:rsidRPr="00E10CFB" w:rsidRDefault="00000000"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|a=</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 xml:space="preserve">(s) </m:t>
            </m:r>
          </m:e>
        </m:d>
      </m:oMath>
      <w:r w:rsidR="001D453E"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001D453E" w:rsidRPr="00E10CFB">
        <w:rPr>
          <w:rFonts w:ascii="Times New Roman" w:hAnsi="Times New Roman" w:cs="Times New Roman"/>
          <w:lang w:val="es-CO"/>
        </w:rPr>
        <w:t xml:space="preserve">     (4)</w:t>
      </w:r>
    </w:p>
    <w:p w14:paraId="071625D6" w14:textId="1BEDED96"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Pr="00E10CFB">
        <w:rPr>
          <w:rFonts w:ascii="Times New Roman" w:hAnsi="Times New Roman" w:cs="Times New Roman"/>
          <w:lang w:val="es-CO"/>
        </w:rPr>
        <w:t xml:space="preserve">     (5)</w:t>
      </w:r>
    </w:p>
    <w:p w14:paraId="53C24176" w14:textId="51962E91"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r>
              <m:rPr>
                <m:sty m:val="p"/>
              </m:rPr>
              <w:rPr>
                <w:rFonts w:ascii="Cambria Math" w:hAnsi="Cambria Math" w:cs="Times New Roman"/>
                <w:color w:val="000000"/>
                <w:sz w:val="22"/>
                <w:szCs w:val="22"/>
                <w:lang w:val="es-CO"/>
              </w:rPr>
              <m:t>min⁡</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,recorte(</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r>
              <w:rPr>
                <w:rFonts w:ascii="Cambria Math" w:hAnsi="Cambria Math" w:cs="Arial"/>
                <w:color w:val="000000"/>
                <w:sz w:val="22"/>
                <w:szCs w:val="22"/>
                <w:lang w:val="es-CO"/>
              </w:rPr>
              <m:t>, 1-ε, 1+ε)</m:t>
            </m:r>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(6)</w:t>
      </w:r>
    </w:p>
    <w:p w14:paraId="62641410" w14:textId="3B0FDD7A" w:rsidR="000C77F4" w:rsidRDefault="000C77F4" w:rsidP="000C77F4">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r(θ)</m:t>
        </m:r>
        <m:r>
          <w:rPr>
            <w:rFonts w:ascii="Cambria Math" w:hAnsi="Cambria Math" w:cs="Arial"/>
            <w:color w:val="000000"/>
            <w:sz w:val="22"/>
            <w:szCs w:val="22"/>
            <w:lang w:val="es-CO"/>
          </w:rPr>
          <m:t xml:space="preserve">= </m:t>
        </m:r>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num>
          <m:den>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sSub>
                  <m:sSubPr>
                    <m:ctrlPr>
                      <w:rPr>
                        <w:rFonts w:ascii="Cambria Math" w:hAnsi="Cambria Math" w:cs="Times New Roman"/>
                        <w:i/>
                        <w:color w:val="000000"/>
                        <w:sz w:val="22"/>
                        <w:szCs w:val="22"/>
                        <w:lang w:val="es-CO"/>
                      </w:rPr>
                    </m:ctrlPr>
                  </m:sSubPr>
                  <m:e>
                    <m:r>
                      <w:rPr>
                        <w:rFonts w:ascii="Cambria Math" w:hAnsi="Cambria Math" w:cs="Times New Roman"/>
                        <w:color w:val="000000"/>
                        <w:sz w:val="22"/>
                        <w:szCs w:val="22"/>
                        <w:lang w:val="es-CO"/>
                      </w:rPr>
                      <m:t>θ</m:t>
                    </m:r>
                  </m:e>
                  <m:sub>
                    <m:r>
                      <w:rPr>
                        <w:rFonts w:ascii="Cambria Math" w:hAnsi="Cambria Math" w:cs="Times New Roman"/>
                        <w:color w:val="000000"/>
                        <w:sz w:val="22"/>
                        <w:szCs w:val="22"/>
                        <w:lang w:val="es-CO"/>
                      </w:rPr>
                      <m:t>antigua</m:t>
                    </m:r>
                  </m:sub>
                </m:sSub>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den>
        </m:f>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(7)</w:t>
      </w:r>
    </w:p>
    <w:p w14:paraId="0AB31099" w14:textId="77777777" w:rsidR="00E10CFB" w:rsidRDefault="00E10CFB" w:rsidP="000C77F4">
      <w:pPr>
        <w:pStyle w:val="Textoindependiente"/>
        <w:spacing w:before="7" w:line="360" w:lineRule="auto"/>
        <w:jc w:val="right"/>
        <w:rPr>
          <w:rFonts w:ascii="Times New Roman" w:hAnsi="Times New Roman" w:cs="Times New Roman"/>
          <w:lang w:val="es-CO"/>
        </w:rPr>
      </w:pPr>
    </w:p>
    <w:p w14:paraId="1E5C9F9D" w14:textId="4F1CF771" w:rsidR="000C77F4" w:rsidRPr="00D833B1" w:rsidRDefault="00D31798" w:rsidP="00D31798">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El término </w:t>
      </w:r>
      <m:oMath>
        <m:r>
          <w:rPr>
            <w:rFonts w:ascii="Cambria Math" w:hAnsi="Cambria Math" w:cs="Times New Roman"/>
            <w:lang w:val="es-CO"/>
          </w:rPr>
          <m:t>recorte</m:t>
        </m:r>
        <m:r>
          <m:rPr>
            <m:sty m:val="p"/>
          </m:rPr>
          <w:rPr>
            <w:rFonts w:ascii="Cambria Math" w:hAnsi="Cambria Math" w:cs="Times New Roman"/>
            <w:lang w:val="es-CO"/>
          </w:rPr>
          <m:t>(</m:t>
        </m:r>
        <m:r>
          <w:rPr>
            <w:rFonts w:ascii="Cambria Math" w:hAnsi="Cambria Math" w:cs="Times New Roman"/>
            <w:lang w:val="es-CO"/>
          </w:rPr>
          <m:t>r</m:t>
        </m:r>
        <m:d>
          <m:dPr>
            <m:ctrlPr>
              <w:rPr>
                <w:rFonts w:ascii="Cambria Math" w:hAnsi="Cambria Math" w:cs="Times New Roman"/>
                <w:lang w:val="es-CO"/>
              </w:rPr>
            </m:ctrlPr>
          </m:dPr>
          <m:e>
            <m:r>
              <w:rPr>
                <w:rFonts w:ascii="Cambria Math" w:hAnsi="Cambria Math" w:cs="Times New Roman"/>
                <w:lang w:val="es-CO"/>
              </w:rPr>
              <m:t>θ</m:t>
            </m:r>
          </m:e>
        </m:d>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recorta la razón entre las políticas actual y antigua para que esta no pueda moverse por fuera del intervalo </w:t>
      </w:r>
      <m:oMath>
        <m:r>
          <m:rPr>
            <m:sty m:val="p"/>
          </m:rPr>
          <w:rPr>
            <w:rFonts w:ascii="Cambria Math" w:hAnsi="Cambria Math" w:cs="Times New Roman"/>
            <w:lang w:val="es-CO"/>
          </w:rPr>
          <m:t>[1-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asegurando así que la política sea relativamente similar a la política antigua. El valor de </w:t>
      </w:r>
      <m:oMath>
        <m:r>
          <w:rPr>
            <w:rFonts w:ascii="Cambria Math" w:hAnsi="Cambria Math" w:cs="Times New Roman"/>
            <w:lang w:val="es-CO"/>
          </w:rPr>
          <m:t>ε</m:t>
        </m:r>
      </m:oMath>
      <w:r w:rsidRPr="00D833B1">
        <w:rPr>
          <w:rFonts w:ascii="Times New Roman" w:hAnsi="Times New Roman" w:cs="Times New Roman"/>
          <w:lang w:val="es-CO"/>
        </w:rPr>
        <w:t xml:space="preserve"> es considerado un parámetro importante para que un modelo de PPO escoja </w:t>
      </w:r>
      <w:r w:rsidRPr="00D833B1">
        <w:rPr>
          <w:rFonts w:ascii="Times New Roman" w:hAnsi="Times New Roman" w:cs="Times New Roman"/>
          <w:lang w:val="es-CO"/>
        </w:rPr>
        <w:lastRenderedPageBreak/>
        <w:t xml:space="preserve">políticas más o menos similares a las anteriores; con un mayor </w:t>
      </w:r>
      <m:oMath>
        <m:r>
          <w:rPr>
            <w:rFonts w:ascii="Cambria Math" w:hAnsi="Cambria Math" w:cs="Times New Roman"/>
            <w:lang w:val="es-CO"/>
          </w:rPr>
          <m:t>ε</m:t>
        </m:r>
      </m:oMath>
      <w:r w:rsidRPr="00D833B1">
        <w:rPr>
          <w:rFonts w:ascii="Times New Roman" w:hAnsi="Times New Roman" w:cs="Times New Roman"/>
          <w:lang w:val="es-CO"/>
        </w:rPr>
        <w:t xml:space="preserve"> se aceptarán políticas más distantes</w:t>
      </w:r>
      <w:r w:rsidR="00CB3D3A" w:rsidRPr="00D833B1">
        <w:rPr>
          <w:rFonts w:ascii="Times New Roman" w:hAnsi="Times New Roman" w:cs="Times New Roman"/>
          <w:lang w:val="es-CO"/>
        </w:rPr>
        <w:t xml:space="preserve"> y menos estables entre </w:t>
      </w:r>
      <w:r w:rsidR="00295FFC" w:rsidRPr="00D833B1">
        <w:rPr>
          <w:rFonts w:ascii="Times New Roman" w:hAnsi="Times New Roman" w:cs="Times New Roman"/>
          <w:lang w:val="es-CO"/>
        </w:rPr>
        <w:t>sí</w:t>
      </w:r>
      <w:r w:rsidRPr="00D833B1">
        <w:rPr>
          <w:rFonts w:ascii="Times New Roman" w:hAnsi="Times New Roman" w:cs="Times New Roman"/>
          <w:lang w:val="es-CO"/>
        </w:rPr>
        <w:t xml:space="preserve">, mientras que un valor menor de </w:t>
      </w:r>
      <m:oMath>
        <m:r>
          <w:rPr>
            <w:rFonts w:ascii="Cambria Math" w:hAnsi="Cambria Math" w:cs="Times New Roman"/>
            <w:lang w:val="es-CO"/>
          </w:rPr>
          <m:t>ε</m:t>
        </m:r>
      </m:oMath>
      <w:r w:rsidRPr="00D833B1">
        <w:rPr>
          <w:rFonts w:ascii="Times New Roman" w:hAnsi="Times New Roman" w:cs="Times New Roman"/>
          <w:lang w:val="es-CO"/>
        </w:rPr>
        <w:t xml:space="preserve"> no las permitirá, y por tanto las nuevas políticas serán más próximas a </w:t>
      </w:r>
      <w:r w:rsidR="00CB3D3A" w:rsidRPr="00D833B1">
        <w:rPr>
          <w:rFonts w:ascii="Times New Roman" w:hAnsi="Times New Roman" w:cs="Times New Roman"/>
          <w:lang w:val="es-CO"/>
        </w:rPr>
        <w:t>la política anterior, ayudando a mantener una estabilidad en el tiempo.</w:t>
      </w:r>
    </w:p>
    <w:p w14:paraId="3F4DDFAE" w14:textId="77777777" w:rsidR="00295FFC" w:rsidRPr="00E10CFB" w:rsidRDefault="00295FFC" w:rsidP="00D31798">
      <w:pPr>
        <w:pStyle w:val="Textoindependiente"/>
        <w:spacing w:before="195" w:after="240" w:line="360" w:lineRule="auto"/>
        <w:ind w:left="480" w:right="124"/>
        <w:jc w:val="both"/>
        <w:rPr>
          <w:rFonts w:ascii="Times New Roman" w:hAnsi="Times New Roman" w:cs="Times New Roman"/>
          <w:lang w:val="es-CO"/>
        </w:rPr>
      </w:pPr>
    </w:p>
    <w:p w14:paraId="7C3FAB78" w14:textId="2C274289" w:rsidR="00295FFC" w:rsidRDefault="00295FFC" w:rsidP="00295FFC">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w:t>
      </w:r>
      <w:r>
        <w:rPr>
          <w:rFonts w:ascii="Times New Roman" w:hAnsi="Times New Roman" w:cs="Times New Roman"/>
          <w:b/>
          <w:bCs/>
          <w:lang w:val="es-CO"/>
        </w:rPr>
        <w:t xml:space="preserve">2 </w:t>
      </w:r>
      <w:r w:rsidR="000D36D4">
        <w:rPr>
          <w:rFonts w:ascii="Times New Roman" w:hAnsi="Times New Roman" w:cs="Times New Roman"/>
          <w:b/>
          <w:bCs/>
          <w:lang w:val="es-CO"/>
        </w:rPr>
        <w:t>Gestión de Portafolios de Renta Fija</w:t>
      </w:r>
    </w:p>
    <w:p w14:paraId="13B7A3DE" w14:textId="43E6603E" w:rsidR="001E749E" w:rsidRDefault="000D36D4" w:rsidP="00C90E8B">
      <w:pPr>
        <w:pStyle w:val="Textoindependiente"/>
        <w:spacing w:before="7" w:line="360" w:lineRule="auto"/>
        <w:jc w:val="both"/>
        <w:rPr>
          <w:rFonts w:ascii="Times New Roman" w:hAnsi="Times New Roman" w:cs="Times New Roman"/>
          <w:lang w:val="es-CO"/>
        </w:rPr>
      </w:pPr>
      <w:r>
        <w:rPr>
          <w:rFonts w:ascii="Times New Roman" w:hAnsi="Times New Roman" w:cs="Times New Roman"/>
          <w:lang w:val="es-CO"/>
        </w:rPr>
        <w:t>Los portafolios de renta fija juegan un importante papel en la gestión de</w:t>
      </w:r>
      <w:r w:rsidR="00854618">
        <w:rPr>
          <w:rFonts w:ascii="Times New Roman" w:hAnsi="Times New Roman" w:cs="Times New Roman"/>
          <w:lang w:val="es-CO"/>
        </w:rPr>
        <w:t>l balance de</w:t>
      </w:r>
      <w:r>
        <w:rPr>
          <w:rFonts w:ascii="Times New Roman" w:hAnsi="Times New Roman" w:cs="Times New Roman"/>
          <w:lang w:val="es-CO"/>
        </w:rPr>
        <w:t xml:space="preserve"> activos y pasivos, y en gestión patrimonial, tanto para </w:t>
      </w:r>
      <w:r w:rsidR="00854618">
        <w:rPr>
          <w:rFonts w:ascii="Times New Roman" w:hAnsi="Times New Roman" w:cs="Times New Roman"/>
          <w:lang w:val="es-CO"/>
        </w:rPr>
        <w:t xml:space="preserve">instituciones financieras como para agentes independientes en los mercados financieros. Estos portafolios están compuestos por instrumentos de renta fija, los cuales son, en esencia, deuda emitida por una contraparte </w:t>
      </w:r>
      <w:sdt>
        <w:sdtPr>
          <w:rPr>
            <w:rFonts w:ascii="Times New Roman" w:hAnsi="Times New Roman" w:cs="Times New Roman"/>
            <w:lang w:val="es-CO"/>
          </w:rPr>
          <w:id w:val="1041868855"/>
          <w:citation/>
        </w:sdtPr>
        <w:sdtContent>
          <w:r w:rsidR="00854618">
            <w:rPr>
              <w:rFonts w:ascii="Times New Roman" w:hAnsi="Times New Roman" w:cs="Times New Roman"/>
              <w:lang w:val="es-CO"/>
            </w:rPr>
            <w:fldChar w:fldCharType="begin"/>
          </w:r>
          <w:r w:rsidR="00854618">
            <w:rPr>
              <w:rFonts w:ascii="Times New Roman" w:hAnsi="Times New Roman" w:cs="Times New Roman"/>
              <w:lang w:val="es-CO"/>
            </w:rPr>
            <w:instrText xml:space="preserve"> CITATION Fab21 \l 9226 </w:instrText>
          </w:r>
          <w:r w:rsidR="00854618">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854618">
            <w:rPr>
              <w:rFonts w:ascii="Times New Roman" w:hAnsi="Times New Roman" w:cs="Times New Roman"/>
              <w:lang w:val="es-CO"/>
            </w:rPr>
            <w:fldChar w:fldCharType="end"/>
          </w:r>
        </w:sdtContent>
      </w:sdt>
      <w:r w:rsidR="00854618">
        <w:rPr>
          <w:rFonts w:ascii="Times New Roman" w:hAnsi="Times New Roman" w:cs="Times New Roman"/>
          <w:lang w:val="es-CO"/>
        </w:rPr>
        <w:t>.</w:t>
      </w:r>
      <w:r w:rsidR="00DC6F0F">
        <w:rPr>
          <w:rFonts w:ascii="Times New Roman" w:hAnsi="Times New Roman" w:cs="Times New Roman"/>
          <w:lang w:val="es-CO"/>
        </w:rPr>
        <w:t xml:space="preserve"> </w:t>
      </w:r>
    </w:p>
    <w:p w14:paraId="7DC8EA3A" w14:textId="23299334" w:rsidR="00DC6F0F" w:rsidRDefault="00DC6F0F" w:rsidP="00C90E8B">
      <w:pPr>
        <w:pStyle w:val="Textoindependiente"/>
        <w:spacing w:before="240" w:after="240" w:line="360" w:lineRule="auto"/>
        <w:jc w:val="both"/>
        <w:rPr>
          <w:rFonts w:ascii="Times New Roman" w:hAnsi="Times New Roman" w:cs="Times New Roman"/>
          <w:lang w:val="es-CO"/>
        </w:rPr>
      </w:pPr>
      <w:r>
        <w:rPr>
          <w:rFonts w:ascii="Times New Roman" w:hAnsi="Times New Roman" w:cs="Times New Roman"/>
          <w:lang w:val="es-CO"/>
        </w:rPr>
        <w:t xml:space="preserve">A continuación, presentamos una serie de conceptos necesarios para el buen entendimiento del funcionamiento de este tipo de portafolios: </w:t>
      </w:r>
    </w:p>
    <w:p w14:paraId="03F2F0A0" w14:textId="4F1BD6D8" w:rsidR="00DC6F0F" w:rsidRDefault="00DC6F0F" w:rsidP="00DC6F0F">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w:t>
      </w:r>
      <w:r>
        <w:rPr>
          <w:rFonts w:ascii="Times New Roman" w:eastAsia="LM Roman 12" w:hAnsi="Times New Roman" w:cs="Times New Roman"/>
          <w:b/>
          <w:bCs/>
          <w:sz w:val="24"/>
          <w:szCs w:val="24"/>
        </w:rPr>
        <w:t xml:space="preserve"> Instrumentos de Renta Fija</w:t>
      </w:r>
    </w:p>
    <w:p w14:paraId="2FF191CB" w14:textId="5677BD37" w:rsidR="00DC6F0F" w:rsidRDefault="001055D2" w:rsidP="00835EAC">
      <w:pPr>
        <w:pStyle w:val="Textoindependiente"/>
        <w:spacing w:before="7" w:after="240" w:line="360" w:lineRule="auto"/>
        <w:jc w:val="both"/>
        <w:rPr>
          <w:rFonts w:ascii="Times New Roman" w:hAnsi="Times New Roman" w:cs="Times New Roman"/>
          <w:lang w:val="es-CO"/>
        </w:rPr>
      </w:pPr>
      <w:r w:rsidRPr="001055D2">
        <w:rPr>
          <w:rFonts w:ascii="Times New Roman" w:hAnsi="Times New Roman" w:cs="Times New Roman"/>
          <w:lang w:val="es-CO"/>
        </w:rPr>
        <w:t>Un instrumento de renta fija es aquel en el que el inversor compra el derecho a los flujos de caja futuros que el emisor o prestatario ha prometido pagar. Este derecho puede negociarse en un mercado secundario, y el precio justo vendrá determinado por el rendimiento al vencimiento</w:t>
      </w:r>
      <w:r>
        <w:rPr>
          <w:rStyle w:val="Refdenotaalpie"/>
          <w:rFonts w:ascii="Times New Roman" w:hAnsi="Times New Roman" w:cs="Times New Roman"/>
          <w:lang w:val="es-CO"/>
        </w:rPr>
        <w:footnoteReference w:id="4"/>
      </w:r>
      <w:r w:rsidRPr="001055D2">
        <w:rPr>
          <w:rFonts w:ascii="Times New Roman" w:hAnsi="Times New Roman" w:cs="Times New Roman"/>
          <w:lang w:val="es-CO"/>
        </w:rPr>
        <w:t>, que es la tasa de descuento exigida por los compradores que incorpora todas las expectativas y riesgos implícitos sobre el valor</w:t>
      </w:r>
      <w:r>
        <w:rPr>
          <w:rFonts w:ascii="Times New Roman" w:hAnsi="Times New Roman" w:cs="Times New Roman"/>
          <w:lang w:val="es-CO"/>
        </w:rPr>
        <w:t xml:space="preserve"> </w:t>
      </w:r>
      <w:sdt>
        <w:sdtPr>
          <w:rPr>
            <w:rFonts w:ascii="Times New Roman" w:hAnsi="Times New Roman" w:cs="Times New Roman"/>
            <w:lang w:val="es-CO"/>
          </w:rPr>
          <w:id w:val="157963620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Fab21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Pr>
              <w:rFonts w:ascii="Times New Roman" w:hAnsi="Times New Roman" w:cs="Times New Roman"/>
              <w:lang w:val="es-CO"/>
            </w:rPr>
            <w:fldChar w:fldCharType="end"/>
          </w:r>
        </w:sdtContent>
      </w:sdt>
      <w:r w:rsidRPr="001055D2">
        <w:rPr>
          <w:rFonts w:ascii="Times New Roman" w:hAnsi="Times New Roman" w:cs="Times New Roman"/>
          <w:lang w:val="es-CO"/>
        </w:rPr>
        <w:t>. La figura 2 muestra el flujo de caja de un instrumento de renta fija convencional, con cupones periódicos y el pago del principal nocional al final, con el último cupón.</w:t>
      </w:r>
    </w:p>
    <w:p w14:paraId="6B1E4FDA" w14:textId="431C963E" w:rsidR="00835EAC" w:rsidRDefault="00835EAC" w:rsidP="00295FFC">
      <w:pPr>
        <w:pStyle w:val="Textoindependiente"/>
        <w:spacing w:before="7" w:line="360" w:lineRule="auto"/>
        <w:jc w:val="both"/>
        <w:rPr>
          <w:rFonts w:ascii="Times New Roman" w:hAnsi="Times New Roman" w:cs="Times New Roman"/>
          <w:lang w:val="es-CO"/>
        </w:rPr>
      </w:pPr>
      <w:r w:rsidRPr="00835EAC">
        <w:rPr>
          <w:rFonts w:ascii="Times New Roman" w:hAnsi="Times New Roman" w:cs="Times New Roman"/>
          <w:lang w:val="es-CO"/>
        </w:rPr>
        <w:t xml:space="preserve">En este </w:t>
      </w:r>
      <w:r>
        <w:rPr>
          <w:rFonts w:ascii="Times New Roman" w:hAnsi="Times New Roman" w:cs="Times New Roman"/>
          <w:lang w:val="es-CO"/>
        </w:rPr>
        <w:t>trabajo</w:t>
      </w:r>
      <w:r w:rsidRPr="00835EAC">
        <w:rPr>
          <w:rFonts w:ascii="Times New Roman" w:hAnsi="Times New Roman" w:cs="Times New Roman"/>
          <w:lang w:val="es-CO"/>
        </w:rPr>
        <w:t xml:space="preserve">, </w:t>
      </w:r>
      <w:r>
        <w:rPr>
          <w:rFonts w:ascii="Times New Roman" w:hAnsi="Times New Roman" w:cs="Times New Roman"/>
          <w:lang w:val="es-CO"/>
        </w:rPr>
        <w:t>se estudian carteras constituidas</w:t>
      </w:r>
      <w:r w:rsidRPr="00835EAC">
        <w:rPr>
          <w:rFonts w:ascii="Times New Roman" w:hAnsi="Times New Roman" w:cs="Times New Roman"/>
          <w:lang w:val="es-CO"/>
        </w:rPr>
        <w:t xml:space="preserve"> con bonos soberanos convencionales emitidos por el gobierno colombiano</w:t>
      </w:r>
      <w:r>
        <w:rPr>
          <w:rFonts w:ascii="Times New Roman" w:hAnsi="Times New Roman" w:cs="Times New Roman"/>
          <w:lang w:val="es-CO"/>
        </w:rPr>
        <w:t xml:space="preserve"> conocidos como Títulos de Tesorería Clase B, o </w:t>
      </w:r>
      <w:r>
        <w:rPr>
          <w:rFonts w:ascii="Times New Roman" w:hAnsi="Times New Roman" w:cs="Times New Roman"/>
          <w:lang w:val="es-CO"/>
        </w:rPr>
        <w:lastRenderedPageBreak/>
        <w:t>simplemente, TES Clase B. Si</w:t>
      </w:r>
      <w:r w:rsidRPr="00835EAC">
        <w:rPr>
          <w:rFonts w:ascii="Times New Roman" w:hAnsi="Times New Roman" w:cs="Times New Roman"/>
          <w:lang w:val="es-CO"/>
        </w:rPr>
        <w:t>n embargo, otros tipos de bonos y emisores pueden ser incluidos en carteras de renta fija.</w:t>
      </w:r>
    </w:p>
    <w:p w14:paraId="1DF028AF" w14:textId="6F27D8E0"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2</w:t>
      </w:r>
      <w:r w:rsidRPr="00C85437">
        <w:rPr>
          <w:rFonts w:ascii="Times New Roman" w:hAnsi="Times New Roman" w:cs="Times New Roman"/>
          <w:lang w:val="es-CO"/>
        </w:rPr>
        <w:t xml:space="preserve">. Diagrama de flujo </w:t>
      </w:r>
      <w:r>
        <w:rPr>
          <w:rFonts w:ascii="Times New Roman" w:hAnsi="Times New Roman" w:cs="Times New Roman"/>
          <w:lang w:val="es-CO"/>
        </w:rPr>
        <w:t>de caja de un instrumento de renta fija convencional</w:t>
      </w:r>
    </w:p>
    <w:p w14:paraId="5AEB7B32" w14:textId="6DEB71EB"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Pr>
          <w:noProof/>
        </w:rPr>
        <w:drawing>
          <wp:inline distT="0" distB="0" distL="0" distR="0" wp14:anchorId="7C7E3B5B" wp14:editId="11B7FCFC">
            <wp:extent cx="4076190" cy="1628571"/>
            <wp:effectExtent l="0" t="0" r="635" b="0"/>
            <wp:docPr id="1569970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112" name=""/>
                    <pic:cNvPicPr/>
                  </pic:nvPicPr>
                  <pic:blipFill>
                    <a:blip r:embed="rId12"/>
                    <a:stretch>
                      <a:fillRect/>
                    </a:stretch>
                  </pic:blipFill>
                  <pic:spPr>
                    <a:xfrm>
                      <a:off x="0" y="0"/>
                      <a:ext cx="4076190" cy="1628571"/>
                    </a:xfrm>
                    <a:prstGeom prst="rect">
                      <a:avLst/>
                    </a:prstGeom>
                  </pic:spPr>
                </pic:pic>
              </a:graphicData>
            </a:graphic>
          </wp:inline>
        </w:drawing>
      </w:r>
    </w:p>
    <w:p w14:paraId="540DEF0A" w14:textId="047CA5A6" w:rsidR="00835EAC" w:rsidRPr="007E6DB8" w:rsidRDefault="00835EAC" w:rsidP="00835EAC">
      <w:pPr>
        <w:pStyle w:val="Textoindependiente"/>
        <w:spacing w:before="195" w:after="240" w:line="360" w:lineRule="auto"/>
        <w:ind w:left="119" w:right="124"/>
        <w:jc w:val="both"/>
        <w:rPr>
          <w:rFonts w:ascii="Times New Roman" w:hAnsi="Times New Roman" w:cs="Times New Roman"/>
          <w:lang w:val="es-CO"/>
        </w:rPr>
      </w:pPr>
      <w:r w:rsidRPr="00835EAC">
        <w:rPr>
          <w:rFonts w:ascii="Times New Roman" w:hAnsi="Times New Roman" w:cs="Times New Roman"/>
          <w:lang w:val="es-CO"/>
        </w:rPr>
        <w:t xml:space="preserve">En ese orden de ideas, la ecuación </w:t>
      </w:r>
      <w:r>
        <w:rPr>
          <w:rFonts w:ascii="Times New Roman" w:hAnsi="Times New Roman" w:cs="Times New Roman"/>
          <w:lang w:val="es-CO"/>
        </w:rPr>
        <w:t>(8)</w:t>
      </w:r>
      <w:r w:rsidRPr="00835EAC">
        <w:rPr>
          <w:rFonts w:ascii="Times New Roman" w:hAnsi="Times New Roman" w:cs="Times New Roman"/>
          <w:lang w:val="es-CO"/>
        </w:rPr>
        <w:t xml:space="preserve"> expresa el precio limpio (</w:t>
      </w:r>
      <w:r>
        <w:rPr>
          <w:rFonts w:ascii="Times New Roman" w:hAnsi="Times New Roman" w:cs="Times New Roman"/>
          <w:lang w:val="es-CO"/>
        </w:rPr>
        <w:t>PL</w:t>
      </w:r>
      <w:r w:rsidRPr="00835EAC">
        <w:rPr>
          <w:rFonts w:ascii="Times New Roman" w:hAnsi="Times New Roman" w:cs="Times New Roman"/>
          <w:lang w:val="es-CO"/>
        </w:rPr>
        <w:t xml:space="preserve">) de un </w:t>
      </w:r>
      <w:r>
        <w:rPr>
          <w:rFonts w:ascii="Times New Roman" w:hAnsi="Times New Roman" w:cs="Times New Roman"/>
          <w:lang w:val="es-CO"/>
        </w:rPr>
        <w:t xml:space="preserve">TES Clase B </w:t>
      </w:r>
      <w:r w:rsidRPr="00835EAC">
        <w:rPr>
          <w:rFonts w:ascii="Times New Roman" w:hAnsi="Times New Roman" w:cs="Times New Roman"/>
          <w:lang w:val="es-CO"/>
        </w:rPr>
        <w:t xml:space="preserve">en términos de los flujos de caja futuros (CF) descontados por el rendimiento al vencimiento (YTM), que es al mismo tiempo </w:t>
      </w:r>
      <w:r>
        <w:rPr>
          <w:rFonts w:ascii="Times New Roman" w:hAnsi="Times New Roman" w:cs="Times New Roman"/>
          <w:lang w:val="es-CO"/>
        </w:rPr>
        <w:t xml:space="preserve">la tasa </w:t>
      </w:r>
      <w:r w:rsidRPr="00835EAC">
        <w:rPr>
          <w:rFonts w:ascii="Times New Roman" w:hAnsi="Times New Roman" w:cs="Times New Roman"/>
          <w:lang w:val="es-CO"/>
        </w:rPr>
        <w:t xml:space="preserve">de negociación del mercado. </w:t>
      </w:r>
      <w:r w:rsidR="007E6DB8">
        <w:rPr>
          <w:rFonts w:ascii="Times New Roman" w:hAnsi="Times New Roman" w:cs="Times New Roman"/>
          <w:lang w:val="es-CO"/>
        </w:rPr>
        <w:t xml:space="preserve">Podemos reexpresar el Precio Limpio en la ecuación (9) </w:t>
      </w:r>
      <w:r w:rsidRPr="00835EAC">
        <w:rPr>
          <w:rFonts w:ascii="Times New Roman" w:hAnsi="Times New Roman" w:cs="Times New Roman"/>
          <w:lang w:val="es-CO"/>
        </w:rPr>
        <w:t>si tomamos cada cupón (C) de</w:t>
      </w:r>
      <w:r w:rsidR="007E6DB8">
        <w:rPr>
          <w:rFonts w:ascii="Times New Roman" w:hAnsi="Times New Roman" w:cs="Times New Roman"/>
          <w:lang w:val="es-CO"/>
        </w:rPr>
        <w:t xml:space="preserve">l bono </w:t>
      </w:r>
      <w:r w:rsidRPr="00835EAC">
        <w:rPr>
          <w:rFonts w:ascii="Times New Roman" w:hAnsi="Times New Roman" w:cs="Times New Roman"/>
          <w:lang w:val="es-CO"/>
        </w:rPr>
        <w:t xml:space="preserve">como el </w:t>
      </w:r>
      <w:r w:rsidR="007E6DB8">
        <w:rPr>
          <w:rFonts w:ascii="Times New Roman" w:hAnsi="Times New Roman" w:cs="Times New Roman"/>
          <w:lang w:val="es-CO"/>
        </w:rPr>
        <w:t xml:space="preserve">resultado de la multiplicación entre el nocional o principal </w:t>
      </w:r>
      <w:r w:rsidRPr="00835EAC">
        <w:rPr>
          <w:rFonts w:ascii="Times New Roman" w:hAnsi="Times New Roman" w:cs="Times New Roman"/>
          <w:lang w:val="es-CO"/>
        </w:rPr>
        <w:t xml:space="preserve">(P) </w:t>
      </w:r>
      <w:r w:rsidR="007E6DB8">
        <w:rPr>
          <w:rFonts w:ascii="Times New Roman" w:hAnsi="Times New Roman" w:cs="Times New Roman"/>
          <w:lang w:val="es-CO"/>
        </w:rPr>
        <w:t xml:space="preserve">del bono </w:t>
      </w:r>
      <w:r w:rsidRPr="00835EAC">
        <w:rPr>
          <w:rFonts w:ascii="Times New Roman" w:hAnsi="Times New Roman" w:cs="Times New Roman"/>
          <w:lang w:val="es-CO"/>
        </w:rPr>
        <w:t>en base 100</w:t>
      </w:r>
      <w:r w:rsidR="00906ED1">
        <w:rPr>
          <w:rFonts w:ascii="Times New Roman" w:hAnsi="Times New Roman" w:cs="Times New Roman"/>
          <w:lang w:val="es-CO"/>
        </w:rPr>
        <w:t xml:space="preserve"> o base 1</w:t>
      </w:r>
      <w:r w:rsidRPr="00835EAC">
        <w:rPr>
          <w:rFonts w:ascii="Times New Roman" w:hAnsi="Times New Roman" w:cs="Times New Roman"/>
          <w:lang w:val="es-CO"/>
        </w:rPr>
        <w:t xml:space="preserve"> por </w:t>
      </w:r>
      <w:r w:rsidR="007E6DB8">
        <w:rPr>
          <w:rFonts w:ascii="Times New Roman" w:hAnsi="Times New Roman" w:cs="Times New Roman"/>
          <w:lang w:val="es-CO"/>
        </w:rPr>
        <w:t xml:space="preserve">la tasa </w:t>
      </w:r>
      <w:r w:rsidRPr="00835EAC">
        <w:rPr>
          <w:rFonts w:ascii="Times New Roman" w:hAnsi="Times New Roman" w:cs="Times New Roman"/>
          <w:lang w:val="es-CO"/>
        </w:rPr>
        <w:t>cupón</w:t>
      </w:r>
      <w:r w:rsidR="007E6DB8">
        <w:rPr>
          <w:rFonts w:ascii="Times New Roman" w:hAnsi="Times New Roman" w:cs="Times New Roman"/>
          <w:lang w:val="es-CO"/>
        </w:rPr>
        <w:t xml:space="preserve"> ofrecida por el emisor en las condiciones faciales del título</w:t>
      </w:r>
      <w:r w:rsidRPr="00835EAC">
        <w:rPr>
          <w:rFonts w:ascii="Times New Roman" w:hAnsi="Times New Roman" w:cs="Times New Roman"/>
          <w:lang w:val="es-CO"/>
        </w:rPr>
        <w:t xml:space="preserve">, y, si sustituimos los cupones periódicos por la fórmula </w:t>
      </w:r>
      <w:r w:rsidR="007E6DB8">
        <w:rPr>
          <w:rFonts w:ascii="Times New Roman" w:hAnsi="Times New Roman" w:cs="Times New Roman"/>
          <w:lang w:val="es-CO"/>
        </w:rPr>
        <w:t>del valor presente de</w:t>
      </w:r>
      <w:r w:rsidRPr="00835EAC">
        <w:rPr>
          <w:rFonts w:ascii="Times New Roman" w:hAnsi="Times New Roman" w:cs="Times New Roman"/>
          <w:lang w:val="es-CO"/>
        </w:rPr>
        <w:t xml:space="preserve"> anualidad</w:t>
      </w:r>
      <w:r w:rsidR="007E6DB8">
        <w:rPr>
          <w:rFonts w:ascii="Times New Roman" w:hAnsi="Times New Roman" w:cs="Times New Roman"/>
          <w:lang w:val="es-CO"/>
        </w:rPr>
        <w:t xml:space="preserve"> </w:t>
      </w:r>
      <w:sdt>
        <w:sdtPr>
          <w:rPr>
            <w:rFonts w:ascii="Times New Roman" w:hAnsi="Times New Roman" w:cs="Times New Roman"/>
            <w:lang w:val="es-CO"/>
          </w:rPr>
          <w:id w:val="-1790814578"/>
          <w:citation/>
        </w:sdtPr>
        <w:sdtContent>
          <w:r w:rsidR="007E6DB8">
            <w:rPr>
              <w:rFonts w:ascii="Times New Roman" w:hAnsi="Times New Roman" w:cs="Times New Roman"/>
              <w:lang w:val="es-CO"/>
            </w:rPr>
            <w:fldChar w:fldCharType="begin"/>
          </w:r>
          <w:r w:rsidR="007E6DB8">
            <w:rPr>
              <w:rFonts w:ascii="Times New Roman" w:hAnsi="Times New Roman" w:cs="Times New Roman"/>
              <w:lang w:val="es-CO"/>
            </w:rPr>
            <w:instrText xml:space="preserve"> CITATION Fab21 \l 9226 </w:instrText>
          </w:r>
          <w:r w:rsidR="007E6DB8">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7E6DB8">
            <w:rPr>
              <w:rFonts w:ascii="Times New Roman" w:hAnsi="Times New Roman" w:cs="Times New Roman"/>
              <w:lang w:val="es-CO"/>
            </w:rPr>
            <w:fldChar w:fldCharType="end"/>
          </w:r>
        </w:sdtContent>
      </w:sdt>
      <w:r w:rsidR="007E6DB8">
        <w:rPr>
          <w:rFonts w:ascii="Times New Roman" w:hAnsi="Times New Roman" w:cs="Times New Roman"/>
          <w:lang w:val="es-CO"/>
        </w:rPr>
        <w:t xml:space="preserve">, siendo </w:t>
      </w:r>
      <w:r w:rsidR="007E6DB8" w:rsidRPr="007E6DB8">
        <w:rPr>
          <w:rFonts w:ascii="Times New Roman" w:hAnsi="Times New Roman" w:cs="Times New Roman"/>
          <w:b/>
          <w:bCs/>
          <w:i/>
          <w:iCs/>
          <w:lang w:val="es-CO"/>
        </w:rPr>
        <w:t>n</w:t>
      </w:r>
      <w:r w:rsidR="007E6DB8">
        <w:rPr>
          <w:rFonts w:ascii="Times New Roman" w:hAnsi="Times New Roman" w:cs="Times New Roman"/>
          <w:lang w:val="es-CO"/>
        </w:rPr>
        <w:t xml:space="preserve"> la cantidad de </w:t>
      </w:r>
      <w:r w:rsidR="005A743F">
        <w:rPr>
          <w:rFonts w:ascii="Times New Roman" w:hAnsi="Times New Roman" w:cs="Times New Roman"/>
          <w:lang w:val="es-CO"/>
        </w:rPr>
        <w:t>anualidades o cupones totales entregados durante el flujo de caja restante.</w:t>
      </w:r>
    </w:p>
    <w:p w14:paraId="475F3783" w14:textId="609C6AD3"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 xml:space="preserve">= </m:t>
        </m:r>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8</w:t>
      </w:r>
      <w:r w:rsidRPr="00E10CFB">
        <w:rPr>
          <w:rFonts w:ascii="Times New Roman" w:hAnsi="Times New Roman" w:cs="Times New Roman"/>
          <w:lang w:val="es-CO"/>
        </w:rPr>
        <w:t>)</w:t>
      </w:r>
    </w:p>
    <w:p w14:paraId="2AE16BA4" w14:textId="070DF7E0"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m:t>
        </m:r>
        <m:f>
          <m:fPr>
            <m:ctrlPr>
              <w:rPr>
                <w:rFonts w:ascii="Cambria Math" w:hAnsi="Cambria Math" w:cs="Arial"/>
                <w:i/>
                <w:color w:val="000000"/>
                <w:sz w:val="22"/>
                <w:szCs w:val="22"/>
              </w:rPr>
            </m:ctrlPr>
          </m:fPr>
          <m:num>
            <m:r>
              <w:rPr>
                <w:rFonts w:ascii="Cambria Math" w:hAnsi="Cambria Math" w:cs="Times New Roman"/>
                <w:color w:val="000000"/>
                <w:sz w:val="22"/>
                <w:szCs w:val="22"/>
                <w:lang w:val="es-CO"/>
              </w:rPr>
              <m:t>C</m:t>
            </m:r>
          </m:num>
          <m:den>
            <m:r>
              <w:rPr>
                <w:rFonts w:ascii="Cambria Math" w:hAnsi="Cambria Math" w:cs="Times New Roman"/>
                <w:color w:val="000000"/>
                <w:sz w:val="22"/>
                <w:szCs w:val="22"/>
                <w:lang w:val="es-CO"/>
              </w:rPr>
              <m:t>YTM</m:t>
            </m:r>
          </m:den>
        </m:f>
        <m:d>
          <m:dPr>
            <m:begChr m:val="["/>
            <m:endChr m:val="]"/>
            <m:ctrlPr>
              <w:rPr>
                <w:rFonts w:ascii="Cambria Math" w:hAnsi="Cambria Math" w:cs="Arial"/>
                <w:i/>
                <w:color w:val="000000"/>
                <w:sz w:val="22"/>
                <w:szCs w:val="22"/>
              </w:rPr>
            </m:ctrlPr>
          </m:dPr>
          <m:e>
            <m:r>
              <w:rPr>
                <w:rFonts w:ascii="Cambria Math" w:hAnsi="Cambria Math" w:cs="Arial"/>
                <w:color w:val="000000"/>
                <w:sz w:val="22"/>
                <w:szCs w:val="22"/>
                <w:lang w:val="es-CO"/>
              </w:rPr>
              <m:t>1-</m:t>
            </m:r>
            <m:f>
              <m:fPr>
                <m:ctrlPr>
                  <w:rPr>
                    <w:rFonts w:ascii="Cambria Math" w:hAnsi="Cambria Math" w:cs="Arial"/>
                    <w:i/>
                    <w:color w:val="000000"/>
                    <w:sz w:val="22"/>
                    <w:szCs w:val="22"/>
                  </w:rPr>
                </m:ctrlPr>
              </m:fPr>
              <m:num>
                <m:r>
                  <w:rPr>
                    <w:rFonts w:ascii="Cambria Math" w:hAnsi="Cambria Math" w:cs="Arial"/>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e>
        </m:d>
        <m:r>
          <w:rPr>
            <w:rFonts w:ascii="Cambria Math" w:hAnsi="Cambria Math" w:cs="Times New Roman"/>
            <w:color w:val="000000"/>
            <w:sz w:val="22"/>
            <w:szCs w:val="22"/>
            <w:lang w:val="es-CO"/>
          </w:rPr>
          <m:t>+</m:t>
        </m:r>
        <m:f>
          <m:fPr>
            <m:ctrlPr>
              <w:rPr>
                <w:rFonts w:ascii="Cambria Math" w:hAnsi="Cambria Math" w:cs="Times New Roman"/>
                <w:i/>
                <w:color w:val="000000"/>
                <w:sz w:val="22"/>
                <w:szCs w:val="22"/>
              </w:rPr>
            </m:ctrlPr>
          </m:fPr>
          <m:num>
            <m:r>
              <w:rPr>
                <w:rFonts w:ascii="Cambria Math" w:hAnsi="Cambria Math" w:cs="Times New Roman"/>
                <w:color w:val="000000"/>
                <w:sz w:val="22"/>
                <w:szCs w:val="22"/>
              </w:rPr>
              <m:t>P</m:t>
            </m:r>
            <m:r>
              <w:rPr>
                <w:rFonts w:ascii="Cambria Math" w:hAnsi="Cambria Math" w:cs="Times New Roman"/>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oMath>
      <w:r w:rsidRPr="00E10CFB">
        <w:rPr>
          <w:rFonts w:ascii="Times New Roman" w:hAnsi="Times New Roman" w:cs="Times New Roman"/>
          <w:lang w:val="es-CO"/>
        </w:rPr>
        <w:tab/>
        <w:t xml:space="preserve">                 </w:t>
      </w:r>
      <w:r w:rsidR="005A743F">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sidR="005A743F">
        <w:rPr>
          <w:rFonts w:ascii="Times New Roman" w:hAnsi="Times New Roman" w:cs="Times New Roman"/>
          <w:lang w:val="es-CO"/>
        </w:rPr>
        <w:t>9</w:t>
      </w:r>
      <w:r w:rsidRPr="00E10CFB">
        <w:rPr>
          <w:rFonts w:ascii="Times New Roman" w:hAnsi="Times New Roman" w:cs="Times New Roman"/>
          <w:lang w:val="es-CO"/>
        </w:rPr>
        <w:t>)</w:t>
      </w:r>
    </w:p>
    <w:p w14:paraId="453EFB1B" w14:textId="373DFC78" w:rsidR="00E0775A" w:rsidRDefault="00E0775A" w:rsidP="00E0775A">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PS</m:t>
        </m:r>
        <m:r>
          <w:rPr>
            <w:rFonts w:ascii="Cambria Math" w:hAnsi="Cambria Math" w:cs="Arial"/>
            <w:color w:val="000000"/>
            <w:sz w:val="22"/>
            <w:szCs w:val="22"/>
            <w:lang w:val="es-CO"/>
          </w:rPr>
          <m:t>= PL</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(1+YTM)</m:t>
            </m:r>
          </m:e>
          <m:sup>
            <m:f>
              <m:fPr>
                <m:type m:val="skw"/>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t>
                </m:r>
              </m:num>
              <m:den>
                <m:r>
                  <w:rPr>
                    <w:rFonts w:ascii="Cambria Math" w:hAnsi="Cambria Math" w:cs="Arial"/>
                    <w:color w:val="000000"/>
                    <w:sz w:val="22"/>
                    <w:szCs w:val="22"/>
                    <w:lang w:val="es-CO"/>
                  </w:rPr>
                  <m:t>b</m:t>
                </m:r>
              </m:den>
            </m:f>
          </m:sup>
        </m:sSup>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10</w:t>
      </w:r>
      <w:r w:rsidRPr="00E10CFB">
        <w:rPr>
          <w:rFonts w:ascii="Times New Roman" w:hAnsi="Times New Roman" w:cs="Times New Roman"/>
          <w:lang w:val="es-CO"/>
        </w:rPr>
        <w:t>)</w:t>
      </w:r>
    </w:p>
    <w:p w14:paraId="01A9749E" w14:textId="6BD5876F" w:rsidR="004D5444" w:rsidRDefault="00E0775A"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 xml:space="preserve">Dado que el PL asume que la negociación se da exactamente en la fecha de emisión o en la fecha de pago de un cupón, se hace necesario recalcular el precio justo de la transacción cuando esta se encuentra por fuera de las fechas anteriormente descritas. Esto es importante porque para esas fechas no exactas, el PL no toma en cuenta el valor de los intereses que se han causado sobre el siguiente cupón, y que, teóricamente, le pertenecen a la parte vendedora en la transacción dado que ha mantenido el título durante esos días adicionales a la fecha de </w:t>
      </w:r>
      <w:r>
        <w:rPr>
          <w:rFonts w:ascii="Times New Roman" w:hAnsi="Times New Roman" w:cs="Times New Roman"/>
          <w:lang w:val="es-CO"/>
        </w:rPr>
        <w:lastRenderedPageBreak/>
        <w:t xml:space="preserve">pago del último cupón. Es así como en la ecuación (10) se calcula el Precio Sucio (PS) del título como el valor futuro del PL a los </w:t>
      </w:r>
      <w:r w:rsidRPr="00E0775A">
        <w:rPr>
          <w:rFonts w:ascii="Times New Roman" w:hAnsi="Times New Roman" w:cs="Times New Roman"/>
          <w:b/>
          <w:bCs/>
          <w:i/>
          <w:iCs/>
          <w:lang w:val="es-CO"/>
        </w:rPr>
        <w:t>d</w:t>
      </w:r>
      <w:r>
        <w:rPr>
          <w:rFonts w:ascii="Times New Roman" w:hAnsi="Times New Roman" w:cs="Times New Roman"/>
          <w:lang w:val="es-CO"/>
        </w:rPr>
        <w:t xml:space="preserve"> días transcurridos desde el pago del último cupón a la fecha de negociación, y tomando como base una cantidad de </w:t>
      </w:r>
      <w:r w:rsidRPr="00E0775A">
        <w:rPr>
          <w:rFonts w:ascii="Times New Roman" w:hAnsi="Times New Roman" w:cs="Times New Roman"/>
          <w:b/>
          <w:bCs/>
          <w:i/>
          <w:iCs/>
          <w:lang w:val="es-CO"/>
        </w:rPr>
        <w:t>b</w:t>
      </w:r>
      <w:r>
        <w:rPr>
          <w:rFonts w:ascii="Times New Roman" w:hAnsi="Times New Roman" w:cs="Times New Roman"/>
          <w:lang w:val="es-CO"/>
        </w:rPr>
        <w:t xml:space="preserve"> días, que equivale a la cantidad de días que hay entre el último cu</w:t>
      </w:r>
      <w:r w:rsidR="004C3739">
        <w:rPr>
          <w:rFonts w:ascii="Times New Roman" w:hAnsi="Times New Roman" w:cs="Times New Roman"/>
          <w:lang w:val="es-CO"/>
        </w:rPr>
        <w:t>p</w:t>
      </w:r>
      <w:r>
        <w:rPr>
          <w:rFonts w:ascii="Times New Roman" w:hAnsi="Times New Roman" w:cs="Times New Roman"/>
          <w:lang w:val="es-CO"/>
        </w:rPr>
        <w:t>ón pagado y el siguiente</w:t>
      </w:r>
      <w:r w:rsidR="004C3739">
        <w:rPr>
          <w:rFonts w:ascii="Times New Roman" w:hAnsi="Times New Roman" w:cs="Times New Roman"/>
          <w:lang w:val="es-CO"/>
        </w:rPr>
        <w:t xml:space="preserve"> por pagar según el flujo de caja definido para ese instrumento.</w:t>
      </w:r>
    </w:p>
    <w:p w14:paraId="2351DEAA" w14:textId="77777777" w:rsidR="004D5444" w:rsidRDefault="004D5444" w:rsidP="003C58D0">
      <w:pPr>
        <w:pStyle w:val="Textoindependiente"/>
        <w:spacing w:after="240" w:line="360" w:lineRule="auto"/>
        <w:jc w:val="both"/>
        <w:rPr>
          <w:rFonts w:ascii="Times New Roman" w:hAnsi="Times New Roman" w:cs="Times New Roman"/>
          <w:lang w:val="es-CO"/>
        </w:rPr>
      </w:pPr>
      <w:r w:rsidRPr="004D5444">
        <w:rPr>
          <w:rFonts w:ascii="Times New Roman" w:hAnsi="Times New Roman" w:cs="Times New Roman"/>
          <w:lang w:val="es-CO"/>
        </w:rPr>
        <w:t>Cuando un agente compra un bono en el</w:t>
      </w:r>
      <w:r>
        <w:rPr>
          <w:rFonts w:ascii="Times New Roman" w:hAnsi="Times New Roman" w:cs="Times New Roman"/>
          <w:lang w:val="es-CO"/>
        </w:rPr>
        <w:t xml:space="preserve"> </w:t>
      </w:r>
      <w:r w:rsidRPr="004D5444">
        <w:rPr>
          <w:rFonts w:ascii="Times New Roman" w:hAnsi="Times New Roman" w:cs="Times New Roman"/>
          <w:lang w:val="es-CO"/>
        </w:rPr>
        <w:t xml:space="preserve">mercado secundario pagando el </w:t>
      </w:r>
      <w:r>
        <w:rPr>
          <w:rFonts w:ascii="Times New Roman" w:hAnsi="Times New Roman" w:cs="Times New Roman"/>
          <w:lang w:val="es-CO"/>
        </w:rPr>
        <w:t>PS</w:t>
      </w:r>
      <w:r w:rsidRPr="004D5444">
        <w:rPr>
          <w:rFonts w:ascii="Times New Roman" w:hAnsi="Times New Roman" w:cs="Times New Roman"/>
          <w:lang w:val="es-CO"/>
        </w:rPr>
        <w:t xml:space="preserve"> por él, y mantiene ese título hasta </w:t>
      </w:r>
      <w:r>
        <w:rPr>
          <w:rFonts w:ascii="Times New Roman" w:hAnsi="Times New Roman" w:cs="Times New Roman"/>
          <w:lang w:val="es-CO"/>
        </w:rPr>
        <w:t>su</w:t>
      </w:r>
      <w:r w:rsidRPr="004D5444">
        <w:rPr>
          <w:rFonts w:ascii="Times New Roman" w:hAnsi="Times New Roman" w:cs="Times New Roman"/>
          <w:lang w:val="es-CO"/>
        </w:rPr>
        <w:t xml:space="preserve"> fecha de vencimiento</w:t>
      </w:r>
      <w:r>
        <w:rPr>
          <w:rFonts w:ascii="Times New Roman" w:hAnsi="Times New Roman" w:cs="Times New Roman"/>
          <w:lang w:val="es-CO"/>
        </w:rPr>
        <w:t xml:space="preserve"> o de maduración</w:t>
      </w:r>
      <w:r w:rsidRPr="004D5444">
        <w:rPr>
          <w:rFonts w:ascii="Times New Roman" w:hAnsi="Times New Roman" w:cs="Times New Roman"/>
          <w:lang w:val="es-CO"/>
        </w:rPr>
        <w:t>,</w:t>
      </w:r>
      <w:r>
        <w:rPr>
          <w:rFonts w:ascii="Times New Roman" w:hAnsi="Times New Roman" w:cs="Times New Roman"/>
          <w:lang w:val="es-CO"/>
        </w:rPr>
        <w:t xml:space="preserve"> entonces</w:t>
      </w:r>
      <w:r w:rsidRPr="004D5444">
        <w:rPr>
          <w:rFonts w:ascii="Times New Roman" w:hAnsi="Times New Roman" w:cs="Times New Roman"/>
          <w:lang w:val="es-CO"/>
        </w:rPr>
        <w:t xml:space="preserve"> su rentabilidad neta será exactamente el YTM </w:t>
      </w:r>
      <w:r>
        <w:rPr>
          <w:rFonts w:ascii="Times New Roman" w:hAnsi="Times New Roman" w:cs="Times New Roman"/>
          <w:lang w:val="es-CO"/>
        </w:rPr>
        <w:t xml:space="preserve">de mercado </w:t>
      </w:r>
      <w:r w:rsidRPr="004D5444">
        <w:rPr>
          <w:rFonts w:ascii="Times New Roman" w:hAnsi="Times New Roman" w:cs="Times New Roman"/>
          <w:lang w:val="es-CO"/>
        </w:rPr>
        <w:t>asociado a</w:t>
      </w:r>
      <w:r>
        <w:rPr>
          <w:rFonts w:ascii="Times New Roman" w:hAnsi="Times New Roman" w:cs="Times New Roman"/>
          <w:lang w:val="es-CO"/>
        </w:rPr>
        <w:t xml:space="preserve"> ese PS</w:t>
      </w:r>
      <w:r w:rsidRPr="004D5444">
        <w:rPr>
          <w:rFonts w:ascii="Times New Roman" w:hAnsi="Times New Roman" w:cs="Times New Roman"/>
          <w:lang w:val="es-CO"/>
        </w:rPr>
        <w:t xml:space="preserve"> que pagó, y</w:t>
      </w:r>
      <w:r>
        <w:rPr>
          <w:rFonts w:ascii="Times New Roman" w:hAnsi="Times New Roman" w:cs="Times New Roman"/>
          <w:lang w:val="es-CO"/>
        </w:rPr>
        <w:t>, en consecuencia,</w:t>
      </w:r>
      <w:r w:rsidRPr="004D5444">
        <w:rPr>
          <w:rFonts w:ascii="Times New Roman" w:hAnsi="Times New Roman" w:cs="Times New Roman"/>
          <w:lang w:val="es-CO"/>
        </w:rPr>
        <w:t xml:space="preserve"> no existe riesgo de mercado asociado al periodo de tenencia</w:t>
      </w:r>
      <w:r>
        <w:rPr>
          <w:rFonts w:ascii="Times New Roman" w:hAnsi="Times New Roman" w:cs="Times New Roman"/>
          <w:lang w:val="es-CO"/>
        </w:rPr>
        <w:t xml:space="preserve"> para dicho inversionista. </w:t>
      </w:r>
    </w:p>
    <w:p w14:paraId="6DE260FD" w14:textId="64E50053" w:rsidR="004D5444" w:rsidRDefault="004D5444"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En cambio, el riesgo de mercado para el inversionista puede surgir si decide no mantener su inversión en ese título hasta la fecha de vencimiento de este, es decir, que planea venderlo antes de su maduración. En ese caso, para el momento de la venta, las condiciones del mercado, y por tanto la YTM con la que se descuentan los flujos de caja del título, pueden haber cambiado, generando cambios en la valoración del título, y así, posibilidad de ganar o perder dinero por cuenta de una variación en los precios de mercado</w:t>
      </w:r>
      <w:r w:rsidR="001D751A">
        <w:rPr>
          <w:rFonts w:ascii="Times New Roman" w:hAnsi="Times New Roman" w:cs="Times New Roman"/>
          <w:lang w:val="es-CO"/>
        </w:rPr>
        <w:t xml:space="preserve"> </w:t>
      </w:r>
      <w:sdt>
        <w:sdtPr>
          <w:rPr>
            <w:rFonts w:ascii="Times New Roman" w:hAnsi="Times New Roman" w:cs="Times New Roman"/>
            <w:lang w:val="es-CO"/>
          </w:rPr>
          <w:id w:val="642312320"/>
          <w:citation/>
        </w:sdtPr>
        <w:sdtContent>
          <w:r w:rsidR="001D751A">
            <w:rPr>
              <w:rFonts w:ascii="Times New Roman" w:hAnsi="Times New Roman" w:cs="Times New Roman"/>
              <w:lang w:val="es-CO"/>
            </w:rPr>
            <w:fldChar w:fldCharType="begin"/>
          </w:r>
          <w:r w:rsidR="001D751A">
            <w:rPr>
              <w:rFonts w:ascii="Times New Roman" w:hAnsi="Times New Roman" w:cs="Times New Roman"/>
              <w:lang w:val="es-CO"/>
            </w:rPr>
            <w:instrText xml:space="preserve"> CITATION Fab21 \l 9226 </w:instrText>
          </w:r>
          <w:r w:rsidR="001D751A">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The handbook of fixed income securities, 2021)</w:t>
          </w:r>
          <w:r w:rsidR="001D751A">
            <w:rPr>
              <w:rFonts w:ascii="Times New Roman" w:hAnsi="Times New Roman" w:cs="Times New Roman"/>
              <w:lang w:val="es-CO"/>
            </w:rPr>
            <w:fldChar w:fldCharType="end"/>
          </w:r>
        </w:sdtContent>
      </w:sdt>
      <w:r>
        <w:rPr>
          <w:rFonts w:ascii="Times New Roman" w:hAnsi="Times New Roman" w:cs="Times New Roman"/>
          <w:lang w:val="es-CO"/>
        </w:rPr>
        <w:t>.</w:t>
      </w:r>
    </w:p>
    <w:p w14:paraId="07B3B522" w14:textId="67EA0546"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Ahora bien, en el marco de la administración de activos y pasivos, y de la gestión patrimonial, realizar un estricto control al riesgo de mercado resulta fundamental. Previo al control y administración del riesgo de mercado, los gestores de portafolio primero lo deben medir, y para ello, exploraremos los siguientes conceptos</w:t>
      </w:r>
      <w:r w:rsidR="00F34E14">
        <w:rPr>
          <w:rFonts w:ascii="Times New Roman" w:hAnsi="Times New Roman" w:cs="Times New Roman"/>
          <w:lang w:val="es-CO"/>
        </w:rPr>
        <w:t xml:space="preserve"> </w:t>
      </w:r>
      <w:sdt>
        <w:sdtPr>
          <w:rPr>
            <w:rFonts w:ascii="Times New Roman" w:hAnsi="Times New Roman" w:cs="Times New Roman"/>
            <w:lang w:val="es-CO"/>
          </w:rPr>
          <w:id w:val="612645212"/>
          <w:citation/>
        </w:sdtPr>
        <w:sdtContent>
          <w:r w:rsidR="00412EC6">
            <w:rPr>
              <w:rFonts w:ascii="Times New Roman" w:hAnsi="Times New Roman" w:cs="Times New Roman"/>
              <w:lang w:val="es-CO"/>
            </w:rPr>
            <w:fldChar w:fldCharType="begin"/>
          </w:r>
          <w:r w:rsidR="00412EC6">
            <w:rPr>
              <w:rFonts w:ascii="Times New Roman" w:hAnsi="Times New Roman" w:cs="Times New Roman"/>
              <w:lang w:val="es-CO"/>
            </w:rPr>
            <w:instrText xml:space="preserve">CITATION Fab07 \t  \l 9226 </w:instrText>
          </w:r>
          <w:r w:rsidR="00412EC6">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2007)</w:t>
          </w:r>
          <w:r w:rsidR="00412EC6">
            <w:rPr>
              <w:rFonts w:ascii="Times New Roman" w:hAnsi="Times New Roman" w:cs="Times New Roman"/>
              <w:lang w:val="es-CO"/>
            </w:rPr>
            <w:fldChar w:fldCharType="end"/>
          </w:r>
        </w:sdtContent>
      </w:sdt>
      <w:r>
        <w:rPr>
          <w:rFonts w:ascii="Times New Roman" w:hAnsi="Times New Roman" w:cs="Times New Roman"/>
          <w:lang w:val="es-CO"/>
        </w:rPr>
        <w:t>:</w:t>
      </w:r>
    </w:p>
    <w:p w14:paraId="017D839D" w14:textId="78B9F2E3"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ecuación (11):</w:t>
      </w:r>
    </w:p>
    <w:p w14:paraId="24E407EF" w14:textId="506FC2B0" w:rsidR="00F34E14" w:rsidRDefault="00F34E14" w:rsidP="00F34E14">
      <w:pPr>
        <w:pStyle w:val="Textoindependiente"/>
        <w:spacing w:before="195" w:after="240" w:line="360" w:lineRule="auto"/>
        <w:ind w:left="480" w:right="124"/>
        <w:jc w:val="both"/>
        <w:rPr>
          <w:rFonts w:ascii="Times New Roman" w:hAnsi="Times New Roman" w:cs="Times New Roman"/>
          <w:lang w:val="es-CO"/>
        </w:rPr>
      </w:pPr>
      <w:r w:rsidRPr="00F34E14">
        <w:rPr>
          <w:rFonts w:ascii="Times New Roman" w:hAnsi="Times New Roman" w:cs="Times New Roman"/>
          <w:lang w:val="es-CO"/>
        </w:rPr>
        <w:t xml:space="preserve">La Duración </w:t>
      </w:r>
      <w:proofErr w:type="spellStart"/>
      <w:r w:rsidRPr="00F34E14">
        <w:rPr>
          <w:rFonts w:ascii="Times New Roman" w:hAnsi="Times New Roman" w:cs="Times New Roman"/>
          <w:lang w:val="es-CO"/>
        </w:rPr>
        <w:t>Macaulay</w:t>
      </w:r>
      <w:proofErr w:type="spellEnd"/>
      <w:r w:rsidRPr="00F34E14">
        <w:rPr>
          <w:rFonts w:ascii="Times New Roman" w:hAnsi="Times New Roman" w:cs="Times New Roman"/>
          <w:lang w:val="es-CO"/>
        </w:rPr>
        <w:t xml:space="preserve"> se define como la media ponderada de tiempo de los flujos de caja de un título dado el Precio Sucio actual</w:t>
      </w:r>
      <w:r>
        <w:rPr>
          <w:rFonts w:ascii="Times New Roman" w:hAnsi="Times New Roman" w:cs="Times New Roman"/>
          <w:lang w:val="es-CO"/>
        </w:rPr>
        <w:t xml:space="preserve">. </w:t>
      </w:r>
      <w:r w:rsidRPr="00F34E14">
        <w:rPr>
          <w:rFonts w:ascii="Times New Roman" w:hAnsi="Times New Roman" w:cs="Times New Roman"/>
          <w:lang w:val="es-CO"/>
        </w:rPr>
        <w:t xml:space="preserve">En otras palabras, puede interpretarse como el tiempo medio en el que se recupera la </w:t>
      </w:r>
      <w:r w:rsidR="00412EC6" w:rsidRPr="00F34E14">
        <w:rPr>
          <w:rFonts w:ascii="Times New Roman" w:hAnsi="Times New Roman" w:cs="Times New Roman"/>
          <w:lang w:val="es-CO"/>
        </w:rPr>
        <w:t>inversión</w:t>
      </w:r>
      <w:r w:rsidR="00412EC6">
        <w:rPr>
          <w:rFonts w:ascii="Times New Roman" w:hAnsi="Times New Roman" w:cs="Times New Roman"/>
          <w:lang w:val="es-CO"/>
        </w:rPr>
        <w:t>,</w:t>
      </w:r>
      <w:r w:rsidR="00412EC6" w:rsidRPr="00F34E14">
        <w:rPr>
          <w:rFonts w:ascii="Times New Roman" w:hAnsi="Times New Roman" w:cs="Times New Roman"/>
          <w:lang w:val="es-CO"/>
        </w:rPr>
        <w:t xml:space="preserve"> dad</w:t>
      </w:r>
      <w:r w:rsidR="00412EC6">
        <w:rPr>
          <w:rFonts w:ascii="Times New Roman" w:hAnsi="Times New Roman" w:cs="Times New Roman"/>
          <w:lang w:val="es-CO"/>
        </w:rPr>
        <w:t>o</w:t>
      </w:r>
      <w:r w:rsidRPr="00F34E14">
        <w:rPr>
          <w:rFonts w:ascii="Times New Roman" w:hAnsi="Times New Roman" w:cs="Times New Roman"/>
          <w:lang w:val="es-CO"/>
        </w:rPr>
        <w:t xml:space="preserve"> el Precio Sucio pagado.</w:t>
      </w:r>
    </w:p>
    <w:p w14:paraId="1AB77C59" w14:textId="7305EB6B"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DMac</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11</w:t>
      </w:r>
      <w:r w:rsidRPr="00E10CFB">
        <w:rPr>
          <w:rFonts w:ascii="Times New Roman" w:hAnsi="Times New Roman" w:cs="Times New Roman"/>
          <w:lang w:val="es-CO"/>
        </w:rPr>
        <w:t>)</w:t>
      </w:r>
    </w:p>
    <w:p w14:paraId="133D01BC" w14:textId="1DD6C7C9"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Duración Modificada, ecuación (12):</w:t>
      </w:r>
    </w:p>
    <w:p w14:paraId="440E3A17" w14:textId="78C2E8D4" w:rsidR="00412EC6" w:rsidRDefault="00412EC6" w:rsidP="00412EC6">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lastRenderedPageBreak/>
        <w:t>Como se mencionaba antes, e</w:t>
      </w:r>
      <w:r w:rsidRPr="00412EC6">
        <w:rPr>
          <w:rFonts w:ascii="Times New Roman" w:hAnsi="Times New Roman" w:cs="Times New Roman"/>
          <w:lang w:val="es-CO"/>
        </w:rPr>
        <w:t xml:space="preserve">l riesgo de mercado en </w:t>
      </w:r>
      <w:r>
        <w:rPr>
          <w:rFonts w:ascii="Times New Roman" w:hAnsi="Times New Roman" w:cs="Times New Roman"/>
          <w:lang w:val="es-CO"/>
        </w:rPr>
        <w:t xml:space="preserve">las operaciones de renta fija </w:t>
      </w:r>
      <w:r w:rsidRPr="00412EC6">
        <w:rPr>
          <w:rFonts w:ascii="Times New Roman" w:hAnsi="Times New Roman" w:cs="Times New Roman"/>
          <w:lang w:val="es-CO"/>
        </w:rPr>
        <w:t>está asociado a las variaciones de los precios de los títulos debidas a las variaciones de los tipos de interés, ya que los primeros reaccionan, en cierta medida, de forma inversa a los segundos. La sensibilidad de la variación del precio respecto a la variación del tipo de interés se conoce como Duración Modificada. Así, un cambio de cien puntos básicos (</w:t>
      </w:r>
      <w:proofErr w:type="spellStart"/>
      <w:r w:rsidRPr="00412EC6">
        <w:rPr>
          <w:rFonts w:ascii="Times New Roman" w:hAnsi="Times New Roman" w:cs="Times New Roman"/>
          <w:lang w:val="es-CO"/>
        </w:rPr>
        <w:t>pb</w:t>
      </w:r>
      <w:r>
        <w:rPr>
          <w:rFonts w:ascii="Times New Roman" w:hAnsi="Times New Roman" w:cs="Times New Roman"/>
          <w:lang w:val="es-CO"/>
        </w:rPr>
        <w:t>s</w:t>
      </w:r>
      <w:proofErr w:type="spellEnd"/>
      <w:r w:rsidRPr="00412EC6">
        <w:rPr>
          <w:rFonts w:ascii="Times New Roman" w:hAnsi="Times New Roman" w:cs="Times New Roman"/>
          <w:lang w:val="es-CO"/>
        </w:rPr>
        <w:t xml:space="preserve">) en </w:t>
      </w:r>
      <w:r w:rsidR="004B2BD1">
        <w:rPr>
          <w:rFonts w:ascii="Times New Roman" w:hAnsi="Times New Roman" w:cs="Times New Roman"/>
          <w:lang w:val="es-CO"/>
        </w:rPr>
        <w:t>la</w:t>
      </w:r>
      <w:r w:rsidRPr="00412EC6">
        <w:rPr>
          <w:rFonts w:ascii="Times New Roman" w:hAnsi="Times New Roman" w:cs="Times New Roman"/>
          <w:lang w:val="es-CO"/>
        </w:rPr>
        <w:t xml:space="preserve"> YTM de mercado implica un cambio </w:t>
      </w:r>
      <w:r>
        <w:rPr>
          <w:rFonts w:ascii="Times New Roman" w:hAnsi="Times New Roman" w:cs="Times New Roman"/>
          <w:lang w:val="es-CO"/>
        </w:rPr>
        <w:t xml:space="preserve">porcentual </w:t>
      </w:r>
      <w:r w:rsidRPr="00412EC6">
        <w:rPr>
          <w:rFonts w:ascii="Times New Roman" w:hAnsi="Times New Roman" w:cs="Times New Roman"/>
          <w:lang w:val="es-CO"/>
        </w:rPr>
        <w:t xml:space="preserve">en el Precio Sucio </w:t>
      </w:r>
      <w:r>
        <w:rPr>
          <w:rFonts w:ascii="Times New Roman" w:hAnsi="Times New Roman" w:cs="Times New Roman"/>
          <w:lang w:val="es-CO"/>
        </w:rPr>
        <w:t>equivalente a la Duración Modificada</w:t>
      </w:r>
      <w:r w:rsidRPr="00412EC6">
        <w:rPr>
          <w:rFonts w:ascii="Times New Roman" w:hAnsi="Times New Roman" w:cs="Times New Roman"/>
          <w:lang w:val="es-CO"/>
        </w:rPr>
        <w:t xml:space="preserve">. </w:t>
      </w:r>
      <w:r w:rsidR="004B2BD1">
        <w:rPr>
          <w:rFonts w:ascii="Times New Roman" w:hAnsi="Times New Roman" w:cs="Times New Roman"/>
          <w:lang w:val="es-CO"/>
        </w:rPr>
        <w:t>Matemáticamente, se puede entender a l</w:t>
      </w:r>
      <w:r w:rsidRPr="00412EC6">
        <w:rPr>
          <w:rFonts w:ascii="Times New Roman" w:hAnsi="Times New Roman" w:cs="Times New Roman"/>
          <w:lang w:val="es-CO"/>
        </w:rPr>
        <w:t xml:space="preserve">a Duración Modificada </w:t>
      </w:r>
      <w:r w:rsidR="004B2BD1">
        <w:rPr>
          <w:rFonts w:ascii="Times New Roman" w:hAnsi="Times New Roman" w:cs="Times New Roman"/>
          <w:lang w:val="es-CO"/>
        </w:rPr>
        <w:t>como</w:t>
      </w:r>
      <w:r w:rsidRPr="00412EC6">
        <w:rPr>
          <w:rFonts w:ascii="Times New Roman" w:hAnsi="Times New Roman" w:cs="Times New Roman"/>
          <w:lang w:val="es-CO"/>
        </w:rPr>
        <w:t xml:space="preserve"> la primera derivada del Precio Sucio con respecto a</w:t>
      </w:r>
      <w:r w:rsidR="004B2BD1">
        <w:rPr>
          <w:rFonts w:ascii="Times New Roman" w:hAnsi="Times New Roman" w:cs="Times New Roman"/>
          <w:lang w:val="es-CO"/>
        </w:rPr>
        <w:t xml:space="preserve"> la</w:t>
      </w:r>
      <w:r w:rsidRPr="00412EC6">
        <w:rPr>
          <w:rFonts w:ascii="Times New Roman" w:hAnsi="Times New Roman" w:cs="Times New Roman"/>
          <w:lang w:val="es-CO"/>
        </w:rPr>
        <w:t xml:space="preserve"> YTM.</w:t>
      </w:r>
    </w:p>
    <w:p w14:paraId="1C74AABF" w14:textId="60C62873"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DMod</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DMac</m:t>
            </m:r>
          </m:num>
          <m:den>
            <m:r>
              <w:rPr>
                <w:rFonts w:ascii="Cambria Math" w:hAnsi="Cambria Math" w:cs="Arial"/>
                <w:color w:val="000000"/>
                <w:sz w:val="22"/>
                <w:szCs w:val="22"/>
                <w:lang w:val="es-CO"/>
              </w:rPr>
              <m:t>1+YTM</m:t>
            </m:r>
          </m:den>
        </m:f>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12</w:t>
      </w:r>
      <w:r w:rsidRPr="00E10CFB">
        <w:rPr>
          <w:rFonts w:ascii="Times New Roman" w:hAnsi="Times New Roman" w:cs="Times New Roman"/>
          <w:lang w:val="es-CO"/>
        </w:rPr>
        <w:t>)</w:t>
      </w:r>
    </w:p>
    <w:p w14:paraId="20F7ED2B" w14:textId="54DDDCF4"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Convexidad, ecuación (1</w:t>
      </w:r>
      <w:r w:rsidR="007A21B0">
        <w:rPr>
          <w:rFonts w:ascii="Times New Roman" w:hAnsi="Times New Roman" w:cs="Times New Roman"/>
          <w:lang w:val="es-CO"/>
        </w:rPr>
        <w:t>3</w:t>
      </w:r>
      <w:r>
        <w:rPr>
          <w:rFonts w:ascii="Times New Roman" w:hAnsi="Times New Roman" w:cs="Times New Roman"/>
          <w:lang w:val="es-CO"/>
        </w:rPr>
        <w:t>):</w:t>
      </w:r>
    </w:p>
    <w:p w14:paraId="7B99BC71" w14:textId="7BF44789" w:rsidR="00BC38CF" w:rsidRPr="00BC38CF" w:rsidRDefault="00CB175C" w:rsidP="00BC38CF">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w:t>
      </w:r>
      <w:r w:rsidRPr="00CB175C">
        <w:rPr>
          <w:rFonts w:ascii="Times New Roman" w:hAnsi="Times New Roman" w:cs="Times New Roman"/>
          <w:lang w:val="es-CO"/>
        </w:rPr>
        <w:t xml:space="preserve"> se muestra en la figura </w:t>
      </w:r>
      <w:r>
        <w:rPr>
          <w:rFonts w:ascii="Times New Roman" w:hAnsi="Times New Roman" w:cs="Times New Roman"/>
          <w:lang w:val="es-CO"/>
        </w:rPr>
        <w:t>3, cuando se presentan</w:t>
      </w:r>
      <w:r w:rsidRPr="00CB175C">
        <w:rPr>
          <w:rFonts w:ascii="Times New Roman" w:hAnsi="Times New Roman" w:cs="Times New Roman"/>
          <w:lang w:val="es-CO"/>
        </w:rPr>
        <w:t xml:space="preserve"> grandes cambios en el tipo de interés, la duración modificada no es suficiente para describir la sensibilidad sobre el precio. Es</w:t>
      </w:r>
      <w:r>
        <w:rPr>
          <w:rFonts w:ascii="Times New Roman" w:hAnsi="Times New Roman" w:cs="Times New Roman"/>
          <w:lang w:val="es-CO"/>
        </w:rPr>
        <w:t>to</w:t>
      </w:r>
      <w:r w:rsidRPr="00CB175C">
        <w:rPr>
          <w:rFonts w:ascii="Times New Roman" w:hAnsi="Times New Roman" w:cs="Times New Roman"/>
          <w:lang w:val="es-CO"/>
        </w:rPr>
        <w:t xml:space="preserve"> </w:t>
      </w:r>
      <w:r>
        <w:rPr>
          <w:rFonts w:ascii="Times New Roman" w:hAnsi="Times New Roman" w:cs="Times New Roman"/>
          <w:lang w:val="es-CO"/>
        </w:rPr>
        <w:t xml:space="preserve">es </w:t>
      </w:r>
      <w:r w:rsidRPr="00CB175C">
        <w:rPr>
          <w:rFonts w:ascii="Times New Roman" w:hAnsi="Times New Roman" w:cs="Times New Roman"/>
          <w:lang w:val="es-CO"/>
        </w:rPr>
        <w:t xml:space="preserve">porque </w:t>
      </w:r>
      <w:r>
        <w:rPr>
          <w:rFonts w:ascii="Times New Roman" w:hAnsi="Times New Roman" w:cs="Times New Roman"/>
          <w:lang w:val="es-CO"/>
        </w:rPr>
        <w:t>la relación entre el</w:t>
      </w:r>
      <w:r w:rsidRPr="00CB175C">
        <w:rPr>
          <w:rFonts w:ascii="Times New Roman" w:hAnsi="Times New Roman" w:cs="Times New Roman"/>
          <w:lang w:val="es-CO"/>
        </w:rPr>
        <w:t xml:space="preserve"> </w:t>
      </w:r>
      <w:r>
        <w:rPr>
          <w:rFonts w:ascii="Times New Roman" w:hAnsi="Times New Roman" w:cs="Times New Roman"/>
          <w:lang w:val="es-CO"/>
        </w:rPr>
        <w:t>P</w:t>
      </w:r>
      <w:r w:rsidRPr="00CB175C">
        <w:rPr>
          <w:rFonts w:ascii="Times New Roman" w:hAnsi="Times New Roman" w:cs="Times New Roman"/>
          <w:lang w:val="es-CO"/>
        </w:rPr>
        <w:t>recio</w:t>
      </w:r>
      <w:r>
        <w:rPr>
          <w:rFonts w:ascii="Times New Roman" w:hAnsi="Times New Roman" w:cs="Times New Roman"/>
          <w:lang w:val="es-CO"/>
        </w:rPr>
        <w:t xml:space="preserve"> Sucio y la YTM</w:t>
      </w:r>
      <w:r w:rsidRPr="00CB175C">
        <w:rPr>
          <w:rFonts w:ascii="Times New Roman" w:hAnsi="Times New Roman" w:cs="Times New Roman"/>
          <w:lang w:val="es-CO"/>
        </w:rPr>
        <w:t xml:space="preserve"> no es lineal</w:t>
      </w:r>
      <w:r>
        <w:rPr>
          <w:rFonts w:ascii="Times New Roman" w:hAnsi="Times New Roman" w:cs="Times New Roman"/>
          <w:lang w:val="es-CO"/>
        </w:rPr>
        <w:t>, y,</w:t>
      </w:r>
      <w:r w:rsidRPr="00CB175C">
        <w:rPr>
          <w:rFonts w:ascii="Times New Roman" w:hAnsi="Times New Roman" w:cs="Times New Roman"/>
          <w:lang w:val="es-CO"/>
        </w:rPr>
        <w:t xml:space="preserve"> en lugar de ello</w:t>
      </w:r>
      <w:r>
        <w:rPr>
          <w:rFonts w:ascii="Times New Roman" w:hAnsi="Times New Roman" w:cs="Times New Roman"/>
          <w:lang w:val="es-CO"/>
        </w:rPr>
        <w:t>,</w:t>
      </w:r>
      <w:r w:rsidRPr="00CB175C">
        <w:rPr>
          <w:rFonts w:ascii="Times New Roman" w:hAnsi="Times New Roman" w:cs="Times New Roman"/>
          <w:lang w:val="es-CO"/>
        </w:rPr>
        <w:t xml:space="preserve"> es convexa </w:t>
      </w:r>
      <w:r>
        <w:rPr>
          <w:rFonts w:ascii="Times New Roman" w:hAnsi="Times New Roman" w:cs="Times New Roman"/>
          <w:lang w:val="es-CO"/>
        </w:rPr>
        <w:t>e inversa</w:t>
      </w:r>
      <w:r w:rsidRPr="00CB175C">
        <w:rPr>
          <w:rFonts w:ascii="Times New Roman" w:hAnsi="Times New Roman" w:cs="Times New Roman"/>
          <w:lang w:val="es-CO"/>
        </w:rPr>
        <w:t>, por lo que cada bono tiene una convexidad asociada a su precio.</w:t>
      </w:r>
    </w:p>
    <w:p w14:paraId="431E44D9" w14:textId="03C36F84" w:rsidR="00FB3EE1"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Matemáticamente, l</w:t>
      </w:r>
      <w:r w:rsidRPr="00CB175C">
        <w:rPr>
          <w:rFonts w:ascii="Times New Roman" w:hAnsi="Times New Roman" w:cs="Times New Roman"/>
          <w:lang w:val="es-CO"/>
        </w:rPr>
        <w:t xml:space="preserve">a convexidad de un título es la segunda derivada del Precio Sucio con respecto al YTM. </w:t>
      </w:r>
      <w:r>
        <w:rPr>
          <w:rFonts w:ascii="Times New Roman" w:hAnsi="Times New Roman" w:cs="Times New Roman"/>
          <w:lang w:val="es-CO"/>
        </w:rPr>
        <w:t>Se puede interpretar como</w:t>
      </w:r>
      <w:r w:rsidRPr="00CB175C">
        <w:rPr>
          <w:rFonts w:ascii="Times New Roman" w:hAnsi="Times New Roman" w:cs="Times New Roman"/>
          <w:lang w:val="es-CO"/>
        </w:rPr>
        <w:t xml:space="preserve"> una medida geométrica de la volatilidad del bono. Un</w:t>
      </w:r>
      <w:r>
        <w:rPr>
          <w:rFonts w:ascii="Times New Roman" w:hAnsi="Times New Roman" w:cs="Times New Roman"/>
          <w:lang w:val="es-CO"/>
        </w:rPr>
        <w:t xml:space="preserve">a convexidad </w:t>
      </w:r>
      <w:r w:rsidRPr="00CB175C">
        <w:rPr>
          <w:rFonts w:ascii="Times New Roman" w:hAnsi="Times New Roman" w:cs="Times New Roman"/>
          <w:lang w:val="es-CO"/>
        </w:rPr>
        <w:t>mayor implica mayores incrementos del Precio Sucio causados por una caída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 xml:space="preserve"> y</w:t>
      </w:r>
      <w:r w:rsidRPr="00CB175C">
        <w:rPr>
          <w:rFonts w:ascii="Times New Roman" w:hAnsi="Times New Roman" w:cs="Times New Roman"/>
          <w:lang w:val="es-CO"/>
        </w:rPr>
        <w:t xml:space="preserve"> menores caídas del Precio Sucio causadas por el mismo incremento absoluto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w:t>
      </w:r>
    </w:p>
    <w:p w14:paraId="0126C27D" w14:textId="655DC7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CVX</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3</w:t>
      </w:r>
      <w:r w:rsidRPr="00E10CFB">
        <w:rPr>
          <w:rFonts w:ascii="Times New Roman" w:hAnsi="Times New Roman" w:cs="Times New Roman"/>
          <w:lang w:val="es-CO"/>
        </w:rPr>
        <w:t>)</w:t>
      </w:r>
    </w:p>
    <w:p w14:paraId="05A6A393" w14:textId="47EC3715" w:rsidR="009F5742" w:rsidRDefault="00000000" w:rsidP="009F5742">
      <w:pPr>
        <w:pStyle w:val="Textoindependiente"/>
        <w:spacing w:before="7" w:after="240" w:line="360" w:lineRule="auto"/>
        <w:jc w:val="right"/>
        <w:rPr>
          <w:rFonts w:ascii="Times New Roman" w:hAnsi="Times New Roman" w:cs="Times New Roman"/>
          <w:lang w:val="es-CO"/>
        </w:rPr>
      </w:pPr>
      <m:oMath>
        <m:f>
          <m:fPr>
            <m:ctrlPr>
              <w:rPr>
                <w:rFonts w:ascii="Cambria Math" w:hAnsi="Cambria Math" w:cs="Times New Roman"/>
                <w:i/>
                <w:color w:val="000000"/>
                <w:sz w:val="22"/>
                <w:szCs w:val="22"/>
                <w:lang w:val="es-CO"/>
              </w:rPr>
            </m:ctrlPr>
          </m:fPr>
          <m:num>
            <m:r>
              <w:rPr>
                <w:rFonts w:ascii="Cambria Math" w:hAnsi="Cambria Math" w:cs="Times New Roman"/>
                <w:color w:val="000000"/>
                <w:sz w:val="22"/>
                <w:szCs w:val="22"/>
                <w:lang w:val="es-CO"/>
              </w:rPr>
              <m:t>∆PS</m:t>
            </m:r>
          </m:num>
          <m:den>
            <m:r>
              <w:rPr>
                <w:rFonts w:ascii="Cambria Math" w:hAnsi="Cambria Math" w:cs="Times New Roman"/>
                <w:color w:val="000000"/>
                <w:sz w:val="22"/>
                <w:szCs w:val="22"/>
                <w:lang w:val="es-CO"/>
              </w:rPr>
              <m:t>PS</m:t>
            </m:r>
          </m:den>
        </m:f>
        <m:r>
          <w:rPr>
            <w:rFonts w:ascii="Cambria Math" w:hAnsi="Cambria Math" w:cs="Arial"/>
            <w:color w:val="000000"/>
            <w:sz w:val="22"/>
            <w:szCs w:val="22"/>
            <w:lang w:val="es-CO"/>
          </w:rPr>
          <m:t>=(-DMod ×∆YTM)+</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1</m:t>
                </m:r>
              </m:num>
              <m:den>
                <m:r>
                  <w:rPr>
                    <w:rFonts w:ascii="Cambria Math" w:hAnsi="Cambria Math" w:cs="Arial"/>
                    <w:color w:val="000000"/>
                    <w:sz w:val="22"/>
                    <w:szCs w:val="22"/>
                    <w:lang w:val="es-CO"/>
                  </w:rPr>
                  <m:t>2</m:t>
                </m:r>
              </m:den>
            </m:f>
            <m:r>
              <w:rPr>
                <w:rFonts w:ascii="Cambria Math" w:hAnsi="Cambria Math" w:cs="Arial"/>
                <w:color w:val="000000"/>
                <w:sz w:val="22"/>
                <w:szCs w:val="22"/>
                <w:lang w:val="es-CO"/>
              </w:rPr>
              <m:t>×CVX×∆YTM</m:t>
            </m:r>
          </m:e>
          <m:sup>
            <m:r>
              <w:rPr>
                <w:rFonts w:ascii="Cambria Math" w:hAnsi="Cambria Math" w:cs="Arial"/>
                <w:color w:val="000000"/>
                <w:sz w:val="22"/>
                <w:szCs w:val="22"/>
                <w:lang w:val="es-CO"/>
              </w:rPr>
              <m:t>2</m:t>
            </m:r>
          </m:sup>
        </m:sSup>
        <m:r>
          <w:rPr>
            <w:rFonts w:ascii="Cambria Math" w:hAnsi="Cambria Math" w:cs="Arial"/>
            <w:color w:val="000000"/>
            <w:sz w:val="22"/>
            <w:szCs w:val="22"/>
            <w:lang w:val="es-CO"/>
          </w:rPr>
          <m:t>)</m:t>
        </m:r>
      </m:oMath>
      <w:r w:rsidR="009F5742" w:rsidRPr="00E10CFB">
        <w:rPr>
          <w:rFonts w:ascii="Times New Roman" w:hAnsi="Times New Roman" w:cs="Times New Roman"/>
          <w:lang w:val="es-CO"/>
        </w:rPr>
        <w:tab/>
        <w:t xml:space="preserve">       </w:t>
      </w:r>
      <w:r w:rsidR="009F5742">
        <w:rPr>
          <w:rFonts w:ascii="Times New Roman" w:hAnsi="Times New Roman" w:cs="Times New Roman"/>
          <w:lang w:val="es-CO"/>
        </w:rPr>
        <w:t xml:space="preserve">     </w:t>
      </w:r>
      <w:r w:rsidR="009F5742" w:rsidRPr="00E10CFB">
        <w:rPr>
          <w:rFonts w:ascii="Times New Roman" w:hAnsi="Times New Roman" w:cs="Times New Roman"/>
          <w:lang w:val="es-CO"/>
        </w:rPr>
        <w:t xml:space="preserve">     (</w:t>
      </w:r>
      <w:r w:rsidR="009F5742">
        <w:rPr>
          <w:rFonts w:ascii="Times New Roman" w:hAnsi="Times New Roman" w:cs="Times New Roman"/>
          <w:lang w:val="es-CO"/>
        </w:rPr>
        <w:t>1</w:t>
      </w:r>
      <w:r w:rsidR="007A21B0">
        <w:rPr>
          <w:rFonts w:ascii="Times New Roman" w:hAnsi="Times New Roman" w:cs="Times New Roman"/>
          <w:lang w:val="es-CO"/>
        </w:rPr>
        <w:t>4</w:t>
      </w:r>
      <w:r w:rsidR="009F5742" w:rsidRPr="00E10CFB">
        <w:rPr>
          <w:rFonts w:ascii="Times New Roman" w:hAnsi="Times New Roman" w:cs="Times New Roman"/>
          <w:lang w:val="es-CO"/>
        </w:rPr>
        <w:t>)</w:t>
      </w:r>
    </w:p>
    <w:p w14:paraId="2535994B" w14:textId="346D8FB1" w:rsidR="00CB175C"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Al combinar los conceptos de duración y convexidad de un instrumento de renta fija, entonces ya es posible calcular de manera precisa el cambio en el precio sucio de un bono cuando se presentan cambios significativos en la tasa de interés utilizando la </w:t>
      </w:r>
      <w:r>
        <w:rPr>
          <w:rFonts w:ascii="Times New Roman" w:hAnsi="Times New Roman" w:cs="Times New Roman"/>
          <w:lang w:val="es-CO"/>
        </w:rPr>
        <w:lastRenderedPageBreak/>
        <w:t>ecuación (1</w:t>
      </w:r>
      <w:r w:rsidR="007A21B0">
        <w:rPr>
          <w:rFonts w:ascii="Times New Roman" w:hAnsi="Times New Roman" w:cs="Times New Roman"/>
          <w:lang w:val="es-CO"/>
        </w:rPr>
        <w:t>4</w:t>
      </w:r>
      <w:r>
        <w:rPr>
          <w:rFonts w:ascii="Times New Roman" w:hAnsi="Times New Roman" w:cs="Times New Roman"/>
          <w:lang w:val="es-CO"/>
        </w:rPr>
        <w:t xml:space="preserve">). Nótese que, el segundo término de </w:t>
      </w:r>
      <w:r w:rsidR="009F5742">
        <w:rPr>
          <w:rFonts w:ascii="Times New Roman" w:hAnsi="Times New Roman" w:cs="Times New Roman"/>
          <w:lang w:val="es-CO"/>
        </w:rPr>
        <w:t>la</w:t>
      </w:r>
      <w:r>
        <w:rPr>
          <w:rFonts w:ascii="Times New Roman" w:hAnsi="Times New Roman" w:cs="Times New Roman"/>
          <w:lang w:val="es-CO"/>
        </w:rPr>
        <w:t xml:space="preserve"> ecuación, al </w:t>
      </w:r>
      <w:r w:rsidR="009F5742">
        <w:rPr>
          <w:rFonts w:ascii="Times New Roman" w:hAnsi="Times New Roman" w:cs="Times New Roman"/>
          <w:lang w:val="es-CO"/>
        </w:rPr>
        <w:t>elevarse</w:t>
      </w:r>
      <w:r>
        <w:rPr>
          <w:rFonts w:ascii="Times New Roman" w:hAnsi="Times New Roman" w:cs="Times New Roman"/>
          <w:lang w:val="es-CO"/>
        </w:rPr>
        <w:t xml:space="preserve"> al cuadrado,</w:t>
      </w:r>
      <w:r w:rsidR="009F5742">
        <w:rPr>
          <w:rFonts w:ascii="Times New Roman" w:hAnsi="Times New Roman" w:cs="Times New Roman"/>
          <w:lang w:val="es-CO"/>
        </w:rPr>
        <w:t xml:space="preserve"> </w:t>
      </w:r>
      <w:r>
        <w:rPr>
          <w:rFonts w:ascii="Times New Roman" w:hAnsi="Times New Roman" w:cs="Times New Roman"/>
          <w:lang w:val="es-CO"/>
        </w:rPr>
        <w:t>es aproximadamente igual a cero cuando los cambios en la YTM son muy pequeños.</w:t>
      </w:r>
    </w:p>
    <w:p w14:paraId="041718BF" w14:textId="1A1148AE" w:rsidR="009F5742" w:rsidRDefault="009F5742" w:rsidP="009F5742">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3</w:t>
      </w:r>
      <w:r w:rsidRPr="00C85437">
        <w:rPr>
          <w:rFonts w:ascii="Times New Roman" w:hAnsi="Times New Roman" w:cs="Times New Roman"/>
          <w:lang w:val="es-CO"/>
        </w:rPr>
        <w:t xml:space="preserve">. </w:t>
      </w:r>
      <w:r w:rsidR="00635BA0">
        <w:rPr>
          <w:rFonts w:ascii="Times New Roman" w:hAnsi="Times New Roman" w:cs="Times New Roman"/>
          <w:lang w:val="es-CO"/>
        </w:rPr>
        <w:t>Relación entre</w:t>
      </w:r>
      <w:r w:rsidR="000B0B2D">
        <w:rPr>
          <w:rFonts w:ascii="Times New Roman" w:hAnsi="Times New Roman" w:cs="Times New Roman"/>
          <w:lang w:val="es-CO"/>
        </w:rPr>
        <w:t xml:space="preserve"> la</w:t>
      </w:r>
      <w:r w:rsidR="00635BA0">
        <w:rPr>
          <w:rFonts w:ascii="Times New Roman" w:hAnsi="Times New Roman" w:cs="Times New Roman"/>
          <w:lang w:val="es-CO"/>
        </w:rPr>
        <w:t xml:space="preserve"> YTM de un bono y su precio. Se evidencia convexidad en el precio que la duración modificada por si sola no puede estimar.</w:t>
      </w:r>
    </w:p>
    <w:p w14:paraId="04B8681B" w14:textId="15EE416B" w:rsidR="00261714" w:rsidRDefault="000B0B2D" w:rsidP="00635BA0">
      <w:pPr>
        <w:pStyle w:val="Textoindependiente"/>
        <w:spacing w:before="7" w:after="240" w:line="360" w:lineRule="auto"/>
        <w:jc w:val="center"/>
        <w:rPr>
          <w:rFonts w:ascii="Times New Roman" w:hAnsi="Times New Roman" w:cs="Times New Roman"/>
          <w:lang w:val="es-CO"/>
        </w:rPr>
      </w:pPr>
      <w:r w:rsidRPr="000B0B2D">
        <w:rPr>
          <w:rFonts w:ascii="Times New Roman" w:hAnsi="Times New Roman" w:cs="Times New Roman"/>
          <w:noProof/>
          <w:lang w:val="es-CO"/>
        </w:rPr>
        <w:drawing>
          <wp:inline distT="0" distB="0" distL="0" distR="0" wp14:anchorId="70507119" wp14:editId="0DE0E610">
            <wp:extent cx="3686810" cy="3549046"/>
            <wp:effectExtent l="0" t="0" r="8890" b="0"/>
            <wp:docPr id="149744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4690" name=""/>
                    <pic:cNvPicPr/>
                  </pic:nvPicPr>
                  <pic:blipFill>
                    <a:blip r:embed="rId13"/>
                    <a:stretch>
                      <a:fillRect/>
                    </a:stretch>
                  </pic:blipFill>
                  <pic:spPr>
                    <a:xfrm>
                      <a:off x="0" y="0"/>
                      <a:ext cx="3692197" cy="3554232"/>
                    </a:xfrm>
                    <a:prstGeom prst="rect">
                      <a:avLst/>
                    </a:prstGeom>
                  </pic:spPr>
                </pic:pic>
              </a:graphicData>
            </a:graphic>
          </wp:inline>
        </w:drawing>
      </w:r>
    </w:p>
    <w:p w14:paraId="1606E922" w14:textId="0C191632"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o DV01, ecuación (1</w:t>
      </w:r>
      <w:r w:rsidR="007A21B0">
        <w:rPr>
          <w:rFonts w:ascii="Times New Roman" w:hAnsi="Times New Roman" w:cs="Times New Roman"/>
          <w:lang w:val="es-CO"/>
        </w:rPr>
        <w:t>5</w:t>
      </w:r>
      <w:r>
        <w:rPr>
          <w:rFonts w:ascii="Times New Roman" w:hAnsi="Times New Roman" w:cs="Times New Roman"/>
          <w:lang w:val="es-CO"/>
        </w:rPr>
        <w:t>):</w:t>
      </w:r>
    </w:p>
    <w:p w14:paraId="57B20CE8" w14:textId="022EE40D" w:rsidR="00455694" w:rsidRDefault="00F8182E" w:rsidP="00455694">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La</w:t>
      </w:r>
      <w:r w:rsidRPr="00F8182E">
        <w:rPr>
          <w:rFonts w:ascii="Times New Roman" w:hAnsi="Times New Roman" w:cs="Times New Roman"/>
          <w:lang w:val="es-CO"/>
        </w:rPr>
        <w:t xml:space="preserve"> duración y convexidad </w:t>
      </w:r>
      <w:r>
        <w:rPr>
          <w:rFonts w:ascii="Times New Roman" w:hAnsi="Times New Roman" w:cs="Times New Roman"/>
          <w:lang w:val="es-CO"/>
        </w:rPr>
        <w:t xml:space="preserve">de un título </w:t>
      </w:r>
      <w:r w:rsidRPr="00F8182E">
        <w:rPr>
          <w:rFonts w:ascii="Times New Roman" w:hAnsi="Times New Roman" w:cs="Times New Roman"/>
          <w:lang w:val="es-CO"/>
        </w:rPr>
        <w:t>dependen de múltiples factores, como l</w:t>
      </w:r>
      <w:r>
        <w:rPr>
          <w:rFonts w:ascii="Times New Roman" w:hAnsi="Times New Roman" w:cs="Times New Roman"/>
          <w:lang w:val="es-CO"/>
        </w:rPr>
        <w:t xml:space="preserve">a tasa y </w:t>
      </w:r>
      <w:r w:rsidRPr="00F8182E">
        <w:rPr>
          <w:rFonts w:ascii="Times New Roman" w:hAnsi="Times New Roman" w:cs="Times New Roman"/>
          <w:lang w:val="es-CO"/>
        </w:rPr>
        <w:t xml:space="preserve">la frecuencia </w:t>
      </w:r>
      <w:r>
        <w:rPr>
          <w:rFonts w:ascii="Times New Roman" w:hAnsi="Times New Roman" w:cs="Times New Roman"/>
          <w:lang w:val="es-CO"/>
        </w:rPr>
        <w:t>de los cupones</w:t>
      </w:r>
      <w:r w:rsidRPr="00F8182E">
        <w:rPr>
          <w:rFonts w:ascii="Times New Roman" w:hAnsi="Times New Roman" w:cs="Times New Roman"/>
          <w:lang w:val="es-CO"/>
        </w:rPr>
        <w:t xml:space="preserve">, </w:t>
      </w:r>
      <w:r>
        <w:rPr>
          <w:rFonts w:ascii="Times New Roman" w:hAnsi="Times New Roman" w:cs="Times New Roman"/>
          <w:lang w:val="es-CO"/>
        </w:rPr>
        <w:t xml:space="preserve">la </w:t>
      </w:r>
      <w:r w:rsidRPr="00F8182E">
        <w:rPr>
          <w:rFonts w:ascii="Times New Roman" w:hAnsi="Times New Roman" w:cs="Times New Roman"/>
          <w:lang w:val="es-CO"/>
        </w:rPr>
        <w:t>YTM y el</w:t>
      </w:r>
      <w:r>
        <w:rPr>
          <w:rFonts w:ascii="Times New Roman" w:hAnsi="Times New Roman" w:cs="Times New Roman"/>
          <w:lang w:val="es-CO"/>
        </w:rPr>
        <w:t xml:space="preserve"> plazo al</w:t>
      </w:r>
      <w:r w:rsidRPr="00F8182E">
        <w:rPr>
          <w:rFonts w:ascii="Times New Roman" w:hAnsi="Times New Roman" w:cs="Times New Roman"/>
          <w:lang w:val="es-CO"/>
        </w:rPr>
        <w:t xml:space="preserve"> vencimiento</w:t>
      </w:r>
      <w:r>
        <w:rPr>
          <w:rFonts w:ascii="Times New Roman" w:hAnsi="Times New Roman" w:cs="Times New Roman"/>
          <w:lang w:val="es-CO"/>
        </w:rPr>
        <w:t xml:space="preserve"> del título</w:t>
      </w:r>
      <w:r w:rsidRPr="00F8182E">
        <w:rPr>
          <w:rFonts w:ascii="Times New Roman" w:hAnsi="Times New Roman" w:cs="Times New Roman"/>
          <w:lang w:val="es-CO"/>
        </w:rPr>
        <w:t>. El riesgo de mercado no es comparable entre dos bonos</w:t>
      </w:r>
      <w:r>
        <w:rPr>
          <w:rFonts w:ascii="Times New Roman" w:hAnsi="Times New Roman" w:cs="Times New Roman"/>
          <w:lang w:val="es-CO"/>
        </w:rPr>
        <w:t xml:space="preserve"> diferentes y</w:t>
      </w:r>
      <w:r w:rsidRPr="00F8182E">
        <w:rPr>
          <w:rFonts w:ascii="Times New Roman" w:hAnsi="Times New Roman" w:cs="Times New Roman"/>
          <w:lang w:val="es-CO"/>
        </w:rPr>
        <w:t xml:space="preserve"> con diferencias en esos factores, y ahí radica la importancia de la DV01</w:t>
      </w:r>
      <w:r>
        <w:rPr>
          <w:rFonts w:ascii="Times New Roman" w:hAnsi="Times New Roman" w:cs="Times New Roman"/>
          <w:lang w:val="es-CO"/>
        </w:rPr>
        <w:t>,</w:t>
      </w:r>
      <w:r w:rsidRPr="00F8182E">
        <w:rPr>
          <w:rFonts w:ascii="Times New Roman" w:hAnsi="Times New Roman" w:cs="Times New Roman"/>
          <w:lang w:val="es-CO"/>
        </w:rPr>
        <w:t xml:space="preserve"> o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sidRPr="00F8182E">
        <w:rPr>
          <w:rFonts w:ascii="Times New Roman" w:hAnsi="Times New Roman" w:cs="Times New Roman"/>
          <w:lang w:val="es-CO"/>
        </w:rPr>
        <w:t xml:space="preserve">, que </w:t>
      </w:r>
      <w:r>
        <w:rPr>
          <w:rFonts w:ascii="Times New Roman" w:hAnsi="Times New Roman" w:cs="Times New Roman"/>
          <w:lang w:val="es-CO"/>
        </w:rPr>
        <w:t xml:space="preserve">permite comparar el </w:t>
      </w:r>
      <w:r w:rsidRPr="00F8182E">
        <w:rPr>
          <w:rFonts w:ascii="Times New Roman" w:hAnsi="Times New Roman" w:cs="Times New Roman"/>
          <w:lang w:val="es-CO"/>
        </w:rPr>
        <w:t>riesgo</w:t>
      </w:r>
      <w:r>
        <w:rPr>
          <w:rFonts w:ascii="Times New Roman" w:hAnsi="Times New Roman" w:cs="Times New Roman"/>
          <w:lang w:val="es-CO"/>
        </w:rPr>
        <w:t xml:space="preserve"> de mercado dos títulos diferentes</w:t>
      </w:r>
      <w:r w:rsidRPr="00F8182E">
        <w:rPr>
          <w:rFonts w:ascii="Times New Roman" w:hAnsi="Times New Roman" w:cs="Times New Roman"/>
          <w:lang w:val="es-CO"/>
        </w:rPr>
        <w:t xml:space="preserve">, </w:t>
      </w:r>
      <w:proofErr w:type="spellStart"/>
      <w:r w:rsidRPr="00F8182E">
        <w:rPr>
          <w:rFonts w:ascii="Times New Roman" w:hAnsi="Times New Roman" w:cs="Times New Roman"/>
          <w:lang w:val="es-CO"/>
        </w:rPr>
        <w:t>midiendo</w:t>
      </w:r>
      <w:r>
        <w:rPr>
          <w:rFonts w:ascii="Times New Roman" w:hAnsi="Times New Roman" w:cs="Times New Roman"/>
          <w:lang w:val="es-CO"/>
        </w:rPr>
        <w:t>lo</w:t>
      </w:r>
      <w:proofErr w:type="spellEnd"/>
      <w:r w:rsidRPr="00F8182E">
        <w:rPr>
          <w:rFonts w:ascii="Times New Roman" w:hAnsi="Times New Roman" w:cs="Times New Roman"/>
          <w:lang w:val="es-CO"/>
        </w:rPr>
        <w:t xml:space="preserve"> en términos monetarios. </w:t>
      </w:r>
      <w:r>
        <w:rPr>
          <w:rFonts w:ascii="Times New Roman" w:hAnsi="Times New Roman" w:cs="Times New Roman"/>
          <w:lang w:val="es-CO"/>
        </w:rPr>
        <w:t xml:space="preserve">El </w:t>
      </w:r>
      <w:r w:rsidRPr="00F8182E">
        <w:rPr>
          <w:rFonts w:ascii="Times New Roman" w:hAnsi="Times New Roman" w:cs="Times New Roman"/>
          <w:lang w:val="es-CO"/>
        </w:rPr>
        <w:t xml:space="preserve">DV01 es la ganancia o pérdida en una posición en </w:t>
      </w:r>
      <w:r>
        <w:rPr>
          <w:rFonts w:ascii="Times New Roman" w:hAnsi="Times New Roman" w:cs="Times New Roman"/>
          <w:lang w:val="es-CO"/>
        </w:rPr>
        <w:t>un bono o un portafolio de bonos</w:t>
      </w:r>
      <w:r w:rsidRPr="00F8182E">
        <w:rPr>
          <w:rFonts w:ascii="Times New Roman" w:hAnsi="Times New Roman" w:cs="Times New Roman"/>
          <w:lang w:val="es-CO"/>
        </w:rPr>
        <w:t xml:space="preserve"> debido a un incremento de un punto básico en </w:t>
      </w:r>
      <w:r>
        <w:rPr>
          <w:rFonts w:ascii="Times New Roman" w:hAnsi="Times New Roman" w:cs="Times New Roman"/>
          <w:lang w:val="es-CO"/>
        </w:rPr>
        <w:t xml:space="preserve">la </w:t>
      </w:r>
      <w:r w:rsidRPr="00F8182E">
        <w:rPr>
          <w:rFonts w:ascii="Times New Roman" w:hAnsi="Times New Roman" w:cs="Times New Roman"/>
          <w:lang w:val="es-CO"/>
        </w:rPr>
        <w:t xml:space="preserve">YTM. Reducir </w:t>
      </w:r>
      <w:r>
        <w:rPr>
          <w:rFonts w:ascii="Times New Roman" w:hAnsi="Times New Roman" w:cs="Times New Roman"/>
          <w:lang w:val="es-CO"/>
        </w:rPr>
        <w:t>el</w:t>
      </w:r>
      <w:r w:rsidRPr="00F8182E">
        <w:rPr>
          <w:rFonts w:ascii="Times New Roman" w:hAnsi="Times New Roman" w:cs="Times New Roman"/>
          <w:lang w:val="es-CO"/>
        </w:rPr>
        <w:t xml:space="preserve"> DV01 en una cartera es una de las actividades más importantes en la gestión de carteras de renta fija</w:t>
      </w:r>
      <w:r>
        <w:rPr>
          <w:rFonts w:ascii="Times New Roman" w:hAnsi="Times New Roman" w:cs="Times New Roman"/>
          <w:lang w:val="es-CO"/>
        </w:rPr>
        <w:t>. El</w:t>
      </w:r>
      <w:r w:rsidRPr="00F8182E">
        <w:rPr>
          <w:rFonts w:ascii="Times New Roman" w:hAnsi="Times New Roman" w:cs="Times New Roman"/>
          <w:lang w:val="es-CO"/>
        </w:rPr>
        <w:t xml:space="preserve"> DV01 puede reducirse vendiendo en corto otros bonos.</w:t>
      </w:r>
    </w:p>
    <w:p w14:paraId="25B6D105" w14:textId="615DC4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w:lastRenderedPageBreak/>
          <m:t>DV01</m:t>
        </m:r>
        <m:r>
          <w:rPr>
            <w:rFonts w:ascii="Cambria Math" w:hAnsi="Cambria Math" w:cs="Arial"/>
            <w:color w:val="000000"/>
            <w:sz w:val="22"/>
            <w:szCs w:val="22"/>
            <w:lang w:val="es-CO"/>
          </w:rPr>
          <m:t>= -DMod ×PL×0.01%</m:t>
        </m:r>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5</w:t>
      </w:r>
      <w:r w:rsidRPr="00E10CFB">
        <w:rPr>
          <w:rFonts w:ascii="Times New Roman" w:hAnsi="Times New Roman" w:cs="Times New Roman"/>
          <w:lang w:val="es-CO"/>
        </w:rPr>
        <w:t>)</w:t>
      </w:r>
    </w:p>
    <w:p w14:paraId="4D47E29B" w14:textId="3CC07678" w:rsidR="000B0B2D" w:rsidRDefault="000B0B2D">
      <w:pPr>
        <w:rPr>
          <w:rFonts w:ascii="Times New Roman" w:hAnsi="Times New Roman" w:cs="Times New Roman"/>
          <w:b/>
          <w:bCs/>
        </w:rPr>
      </w:pPr>
    </w:p>
    <w:p w14:paraId="42A11DD8" w14:textId="2D98FD86" w:rsidR="000B0B2D" w:rsidRPr="000B0B2D" w:rsidRDefault="000B0B2D" w:rsidP="000B0B2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La Curva de Rendimientos</w:t>
      </w:r>
    </w:p>
    <w:p w14:paraId="5E712140" w14:textId="21AFD4C9" w:rsidR="00192DCF" w:rsidRP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La curva de rendimientos es una representación gráfica de la relación entre los vencimientos y los rendimientos de los bonos dentro de un mercado específico</w:t>
      </w:r>
      <w:r>
        <w:rPr>
          <w:rFonts w:ascii="Times New Roman" w:hAnsi="Times New Roman" w:cs="Times New Roman"/>
          <w:lang w:val="es-CO"/>
        </w:rPr>
        <w:t xml:space="preserve"> </w:t>
      </w:r>
      <w:sdt>
        <w:sdtPr>
          <w:rPr>
            <w:rFonts w:ascii="Times New Roman" w:hAnsi="Times New Roman" w:cs="Times New Roman"/>
            <w:lang w:val="es-CO"/>
          </w:rPr>
          <w:id w:val="385989396"/>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0068599F" w:rsidRPr="0068599F">
            <w:rPr>
              <w:rFonts w:ascii="Times New Roman" w:hAnsi="Times New Roman" w:cs="Times New Roman"/>
              <w:noProof/>
              <w:lang w:val="es-CO"/>
            </w:rPr>
            <w:t>(Fabozzi, 2007)</w:t>
          </w:r>
          <w:r>
            <w:rPr>
              <w:rFonts w:ascii="Times New Roman" w:hAnsi="Times New Roman" w:cs="Times New Roman"/>
              <w:lang w:val="es-CO"/>
            </w:rPr>
            <w:fldChar w:fldCharType="end"/>
          </w:r>
        </w:sdtContent>
      </w:sdt>
      <w:r w:rsidRPr="00192DCF">
        <w:rPr>
          <w:rFonts w:ascii="Times New Roman" w:hAnsi="Times New Roman" w:cs="Times New Roman"/>
          <w:lang w:val="es-CO"/>
        </w:rPr>
        <w:t>. Una representación de la curva de rendimiento</w:t>
      </w:r>
      <w:r>
        <w:rPr>
          <w:rFonts w:ascii="Times New Roman" w:hAnsi="Times New Roman" w:cs="Times New Roman"/>
          <w:lang w:val="es-CO"/>
        </w:rPr>
        <w:t>s</w:t>
      </w:r>
      <w:r w:rsidRPr="00192DCF">
        <w:rPr>
          <w:rFonts w:ascii="Times New Roman" w:hAnsi="Times New Roman" w:cs="Times New Roman"/>
          <w:lang w:val="es-CO"/>
        </w:rPr>
        <w:t xml:space="preserve"> incluye títulos</w:t>
      </w:r>
      <w:r>
        <w:rPr>
          <w:rFonts w:ascii="Times New Roman" w:hAnsi="Times New Roman" w:cs="Times New Roman"/>
          <w:lang w:val="es-CO"/>
        </w:rPr>
        <w:t xml:space="preserve"> con las siguientes características</w:t>
      </w:r>
      <w:r w:rsidRPr="00192DCF">
        <w:rPr>
          <w:rFonts w:ascii="Times New Roman" w:hAnsi="Times New Roman" w:cs="Times New Roman"/>
          <w:lang w:val="es-CO"/>
        </w:rPr>
        <w:t>:</w:t>
      </w:r>
    </w:p>
    <w:p w14:paraId="5BA9B45A" w14:textId="20C7B9C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indexación</w:t>
      </w:r>
    </w:p>
    <w:p w14:paraId="0EAFB5F5" w14:textId="1DE0882A"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denominación monetaria</w:t>
      </w:r>
    </w:p>
    <w:p w14:paraId="770A7646" w14:textId="053E2F4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calificación crediticia</w:t>
      </w:r>
    </w:p>
    <w:p w14:paraId="1ECD2805" w14:textId="3F84FA05"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diferentes vencimientos</w:t>
      </w:r>
    </w:p>
    <w:p w14:paraId="040C31A0" w14:textId="13AE85F7" w:rsid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 xml:space="preserve">Normalmente, la pendiente de la curva </w:t>
      </w:r>
      <w:r>
        <w:rPr>
          <w:rFonts w:ascii="Times New Roman" w:hAnsi="Times New Roman" w:cs="Times New Roman"/>
          <w:lang w:val="es-CO"/>
        </w:rPr>
        <w:t>de rendimientos</w:t>
      </w:r>
      <w:r w:rsidRPr="00192DCF">
        <w:rPr>
          <w:rFonts w:ascii="Times New Roman" w:hAnsi="Times New Roman" w:cs="Times New Roman"/>
          <w:lang w:val="es-CO"/>
        </w:rPr>
        <w:t xml:space="preserve"> es positiva, sin embargo, dada una situación económica concreta, la curva podría adoptar otra forma. A continuación</w:t>
      </w:r>
      <w:r>
        <w:rPr>
          <w:rFonts w:ascii="Times New Roman" w:hAnsi="Times New Roman" w:cs="Times New Roman"/>
          <w:lang w:val="es-CO"/>
        </w:rPr>
        <w:t>,</w:t>
      </w:r>
      <w:r w:rsidRPr="00192DCF">
        <w:rPr>
          <w:rFonts w:ascii="Times New Roman" w:hAnsi="Times New Roman" w:cs="Times New Roman"/>
          <w:lang w:val="es-CO"/>
        </w:rPr>
        <w:t xml:space="preserve"> se indican las formas que podría adoptar la curva</w:t>
      </w:r>
      <w:r>
        <w:rPr>
          <w:rFonts w:ascii="Times New Roman" w:hAnsi="Times New Roman" w:cs="Times New Roman"/>
          <w:lang w:val="es-CO"/>
        </w:rPr>
        <w:t xml:space="preserve"> de rendimientos (Figura 4): </w:t>
      </w:r>
    </w:p>
    <w:p w14:paraId="65F73F37" w14:textId="27D904F2"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Normal:</w:t>
      </w:r>
      <w:r>
        <w:rPr>
          <w:rFonts w:ascii="Times New Roman" w:hAnsi="Times New Roman" w:cs="Times New Roman"/>
          <w:lang w:val="es-CO"/>
        </w:rPr>
        <w:t xml:space="preserve"> Las tasas de interés</w:t>
      </w:r>
      <w:r w:rsidRPr="00192DCF">
        <w:rPr>
          <w:rFonts w:ascii="Times New Roman" w:hAnsi="Times New Roman" w:cs="Times New Roman"/>
          <w:lang w:val="es-CO"/>
        </w:rPr>
        <w:t xml:space="preserve"> a corto plazo son más bajos que a largo plazo.</w:t>
      </w:r>
    </w:p>
    <w:p w14:paraId="594102E9" w14:textId="0CD4D700"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Plana:</w:t>
      </w:r>
      <w:r w:rsidRPr="00192DCF">
        <w:rPr>
          <w:rFonts w:ascii="Times New Roman" w:hAnsi="Times New Roman" w:cs="Times New Roman"/>
          <w:lang w:val="es-CO"/>
        </w:rPr>
        <w:t xml:space="preserve"> </w:t>
      </w:r>
      <w:r>
        <w:rPr>
          <w:rFonts w:ascii="Times New Roman" w:hAnsi="Times New Roman" w:cs="Times New Roman"/>
          <w:lang w:val="es-CO"/>
        </w:rPr>
        <w:t>Las tasas de interés</w:t>
      </w:r>
      <w:r w:rsidRPr="00192DCF">
        <w:rPr>
          <w:rFonts w:ascii="Times New Roman" w:hAnsi="Times New Roman" w:cs="Times New Roman"/>
          <w:lang w:val="es-CO"/>
        </w:rPr>
        <w:t xml:space="preserve"> plazo son similares a l</w:t>
      </w:r>
      <w:r>
        <w:rPr>
          <w:rFonts w:ascii="Times New Roman" w:hAnsi="Times New Roman" w:cs="Times New Roman"/>
          <w:lang w:val="es-CO"/>
        </w:rPr>
        <w:t>a</w:t>
      </w:r>
      <w:r w:rsidRPr="00192DCF">
        <w:rPr>
          <w:rFonts w:ascii="Times New Roman" w:hAnsi="Times New Roman" w:cs="Times New Roman"/>
          <w:lang w:val="es-CO"/>
        </w:rPr>
        <w:t>s de largo plazo.</w:t>
      </w:r>
    </w:p>
    <w:p w14:paraId="3856C433" w14:textId="6675EC61" w:rsidR="00027D8A" w:rsidRDefault="00192DCF" w:rsidP="00027D8A">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Invertido:</w:t>
      </w:r>
      <w:r>
        <w:rPr>
          <w:rFonts w:ascii="Times New Roman" w:hAnsi="Times New Roman" w:cs="Times New Roman"/>
          <w:lang w:val="es-CO"/>
        </w:rPr>
        <w:t xml:space="preserve"> Las tasas de interés a</w:t>
      </w:r>
      <w:r w:rsidRPr="00192DCF">
        <w:rPr>
          <w:rFonts w:ascii="Times New Roman" w:hAnsi="Times New Roman" w:cs="Times New Roman"/>
          <w:lang w:val="es-CO"/>
        </w:rPr>
        <w:t xml:space="preserve"> corto plazo son superiores a l</w:t>
      </w:r>
      <w:r>
        <w:rPr>
          <w:rFonts w:ascii="Times New Roman" w:hAnsi="Times New Roman" w:cs="Times New Roman"/>
          <w:lang w:val="es-CO"/>
        </w:rPr>
        <w:t>a</w:t>
      </w:r>
      <w:r w:rsidRPr="00192DCF">
        <w:rPr>
          <w:rFonts w:ascii="Times New Roman" w:hAnsi="Times New Roman" w:cs="Times New Roman"/>
          <w:lang w:val="es-CO"/>
        </w:rPr>
        <w:t>s de largo plazo.</w:t>
      </w:r>
    </w:p>
    <w:p w14:paraId="79FCC323" w14:textId="09086003" w:rsidR="00027D8A" w:rsidRDefault="00027D8A" w:rsidP="00027D8A">
      <w:pPr>
        <w:pStyle w:val="Textoindependiente"/>
        <w:spacing w:before="195" w:line="360" w:lineRule="auto"/>
        <w:ind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4</w:t>
      </w:r>
      <w:r w:rsidRPr="00C85437">
        <w:rPr>
          <w:rFonts w:ascii="Times New Roman" w:hAnsi="Times New Roman" w:cs="Times New Roman"/>
          <w:lang w:val="es-CO"/>
        </w:rPr>
        <w:t xml:space="preserve">. </w:t>
      </w:r>
      <w:r>
        <w:rPr>
          <w:rFonts w:ascii="Times New Roman" w:hAnsi="Times New Roman" w:cs="Times New Roman"/>
          <w:lang w:val="es-CO"/>
        </w:rPr>
        <w:t>Formas de la curva de rendimientos.</w:t>
      </w:r>
    </w:p>
    <w:p w14:paraId="233256A8" w14:textId="686AC631" w:rsidR="00192DCF" w:rsidRDefault="00027D8A" w:rsidP="00027D8A">
      <w:pPr>
        <w:pStyle w:val="Textoindependiente"/>
        <w:spacing w:after="240" w:line="360" w:lineRule="auto"/>
        <w:ind w:right="124"/>
        <w:jc w:val="center"/>
        <w:rPr>
          <w:rFonts w:ascii="Times New Roman" w:hAnsi="Times New Roman" w:cs="Times New Roman"/>
          <w:lang w:val="es-CO"/>
        </w:rPr>
      </w:pPr>
      <w:r w:rsidRPr="00027D8A">
        <w:rPr>
          <w:rFonts w:ascii="Times New Roman" w:hAnsi="Times New Roman" w:cs="Times New Roman"/>
          <w:noProof/>
          <w:lang w:val="es-CO"/>
        </w:rPr>
        <w:lastRenderedPageBreak/>
        <w:drawing>
          <wp:inline distT="0" distB="0" distL="0" distR="0" wp14:anchorId="634228A1" wp14:editId="5B0BAE64">
            <wp:extent cx="3362325" cy="2521745"/>
            <wp:effectExtent l="0" t="0" r="0" b="0"/>
            <wp:docPr id="1931463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3641" name=""/>
                    <pic:cNvPicPr/>
                  </pic:nvPicPr>
                  <pic:blipFill>
                    <a:blip r:embed="rId14"/>
                    <a:stretch>
                      <a:fillRect/>
                    </a:stretch>
                  </pic:blipFill>
                  <pic:spPr>
                    <a:xfrm>
                      <a:off x="0" y="0"/>
                      <a:ext cx="3370068" cy="2527552"/>
                    </a:xfrm>
                    <a:prstGeom prst="rect">
                      <a:avLst/>
                    </a:prstGeom>
                  </pic:spPr>
                </pic:pic>
              </a:graphicData>
            </a:graphic>
          </wp:inline>
        </w:drawing>
      </w:r>
    </w:p>
    <w:p w14:paraId="1192BFF2" w14:textId="05142BAD" w:rsidR="00192DCF" w:rsidRDefault="00027D8A" w:rsidP="00192DCF">
      <w:pPr>
        <w:pStyle w:val="Textoindependiente"/>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lang w:val="es-CO"/>
        </w:rPr>
        <w:t xml:space="preserve">Hay una variedad de factores económicos que influyen en la forma de la curva de rendimiento, y hay diferentes teorías sobre cómo esos factores explican la </w:t>
      </w:r>
      <w:r>
        <w:rPr>
          <w:rFonts w:ascii="Times New Roman" w:hAnsi="Times New Roman" w:cs="Times New Roman"/>
          <w:lang w:val="es-CO"/>
        </w:rPr>
        <w:t xml:space="preserve">forma de la </w:t>
      </w:r>
      <w:r w:rsidRPr="00027D8A">
        <w:rPr>
          <w:rFonts w:ascii="Times New Roman" w:hAnsi="Times New Roman" w:cs="Times New Roman"/>
          <w:lang w:val="es-CO"/>
        </w:rPr>
        <w:t>curva y sus movimientos</w:t>
      </w:r>
      <w:r w:rsidR="00757060">
        <w:rPr>
          <w:rFonts w:ascii="Times New Roman" w:hAnsi="Times New Roman" w:cs="Times New Roman"/>
          <w:lang w:val="es-CO"/>
        </w:rPr>
        <w:t xml:space="preserve"> </w:t>
      </w:r>
      <w:sdt>
        <w:sdtPr>
          <w:rPr>
            <w:rFonts w:ascii="Times New Roman" w:hAnsi="Times New Roman" w:cs="Times New Roman"/>
            <w:lang w:val="es-CO"/>
          </w:rPr>
          <w:id w:val="1006097473"/>
          <w:citation/>
        </w:sdtPr>
        <w:sdtContent>
          <w:r w:rsidR="00757060">
            <w:rPr>
              <w:rFonts w:ascii="Times New Roman" w:hAnsi="Times New Roman" w:cs="Times New Roman"/>
              <w:lang w:val="es-CO"/>
            </w:rPr>
            <w:fldChar w:fldCharType="begin"/>
          </w:r>
          <w:r w:rsidR="00757060">
            <w:rPr>
              <w:rFonts w:ascii="Times New Roman" w:hAnsi="Times New Roman" w:cs="Times New Roman"/>
              <w:lang w:val="es-CO"/>
            </w:rPr>
            <w:instrText xml:space="preserve"> CITATION Pel97 \l 9226 </w:instrText>
          </w:r>
          <w:r w:rsidR="00757060">
            <w:rPr>
              <w:rFonts w:ascii="Times New Roman" w:hAnsi="Times New Roman" w:cs="Times New Roman"/>
              <w:lang w:val="es-CO"/>
            </w:rPr>
            <w:fldChar w:fldCharType="separate"/>
          </w:r>
          <w:r w:rsidR="0068599F" w:rsidRPr="0068599F">
            <w:rPr>
              <w:rFonts w:ascii="Times New Roman" w:hAnsi="Times New Roman" w:cs="Times New Roman"/>
              <w:noProof/>
              <w:lang w:val="es-CO"/>
            </w:rPr>
            <w:t>(Pelaez, 1997)</w:t>
          </w:r>
          <w:r w:rsidR="00757060">
            <w:rPr>
              <w:rFonts w:ascii="Times New Roman" w:hAnsi="Times New Roman" w:cs="Times New Roman"/>
              <w:lang w:val="es-CO"/>
            </w:rPr>
            <w:fldChar w:fldCharType="end"/>
          </w:r>
        </w:sdtContent>
      </w:sdt>
      <w:r w:rsidRPr="00027D8A">
        <w:rPr>
          <w:rFonts w:ascii="Times New Roman" w:hAnsi="Times New Roman" w:cs="Times New Roman"/>
          <w:lang w:val="es-CO"/>
        </w:rPr>
        <w:t>. Sea cual sea la explicación de los movimientos de la curva, los operadores se aprovechan de ellos comprando o vendiendo títulos en diferentes nodos de la curva. En términos generales, existen tres movimientos básicos para la curva de rendimientos:</w:t>
      </w:r>
    </w:p>
    <w:p w14:paraId="49FB6BEE" w14:textId="29AFD08A"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Desplazamiento Paralelo:</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 a</w:t>
      </w:r>
      <w:r w:rsidRPr="00027D8A">
        <w:rPr>
          <w:rFonts w:ascii="Times New Roman" w:hAnsi="Times New Roman" w:cs="Times New Roman"/>
          <w:lang w:val="es-CO"/>
        </w:rPr>
        <w:t xml:space="preserve"> largo y corto plazo no cambia. </w:t>
      </w:r>
      <w:r>
        <w:rPr>
          <w:rFonts w:ascii="Times New Roman" w:hAnsi="Times New Roman" w:cs="Times New Roman"/>
          <w:lang w:val="es-CO"/>
        </w:rPr>
        <w:t>Las tasas</w:t>
      </w:r>
      <w:r w:rsidRPr="00027D8A">
        <w:rPr>
          <w:rFonts w:ascii="Times New Roman" w:hAnsi="Times New Roman" w:cs="Times New Roman"/>
          <w:lang w:val="es-CO"/>
        </w:rPr>
        <w:t xml:space="preserve"> aumentan o disminuyen en la misma cantidad de puntos básicos</w:t>
      </w:r>
      <w:r>
        <w:rPr>
          <w:rFonts w:ascii="Times New Roman" w:hAnsi="Times New Roman" w:cs="Times New Roman"/>
          <w:lang w:val="es-CO"/>
        </w:rPr>
        <w:t xml:space="preserve"> a lo largo de la curva.</w:t>
      </w:r>
    </w:p>
    <w:p w14:paraId="4D685A02" w14:textId="249ACB4B"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Pr>
          <w:rFonts w:ascii="Times New Roman" w:hAnsi="Times New Roman" w:cs="Times New Roman"/>
          <w:i/>
          <w:iCs/>
          <w:lang w:val="es-CO"/>
        </w:rPr>
        <w:t>Empinamiento</w:t>
      </w:r>
      <w:r w:rsidRPr="00027D8A">
        <w:rPr>
          <w:rFonts w:ascii="Times New Roman" w:hAnsi="Times New Roman" w:cs="Times New Roman"/>
          <w:i/>
          <w:iCs/>
          <w:lang w:val="es-CO"/>
        </w:rPr>
        <w:t>:</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y a corto plazo aumenta. Ocurre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bajan mientras que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plazo suben, o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suben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3751E2AF" w14:textId="36532003" w:rsid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Aplanamiento:</w:t>
      </w:r>
      <w:r w:rsidRPr="00027D8A">
        <w:rPr>
          <w:rFonts w:ascii="Times New Roman" w:hAnsi="Times New Roman" w:cs="Times New Roman"/>
          <w:lang w:val="es-CO"/>
        </w:rPr>
        <w:t xml:space="preserve"> El diferencial entre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y a corto plazo disminuye. Ocurre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aumentan mientras que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plazo bajan, o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bajan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0DFEC864" w14:textId="05853C8A" w:rsidR="00834DE5" w:rsidRDefault="00834DE5" w:rsidP="00834DE5">
      <w:pPr>
        <w:pStyle w:val="Textoindependiente"/>
        <w:spacing w:before="195" w:after="240" w:line="360" w:lineRule="auto"/>
        <w:ind w:right="124"/>
        <w:jc w:val="both"/>
        <w:rPr>
          <w:rFonts w:ascii="Times New Roman" w:hAnsi="Times New Roman" w:cs="Times New Roman"/>
          <w:lang w:val="es-CO"/>
        </w:rPr>
      </w:pPr>
      <w:r w:rsidRPr="00834DE5">
        <w:rPr>
          <w:rFonts w:ascii="Times New Roman" w:hAnsi="Times New Roman" w:cs="Times New Roman"/>
          <w:lang w:val="es-CO"/>
        </w:rPr>
        <w:t xml:space="preserve">Los operadores estructuran sus estrategias y carteras de renta fija en función de las </w:t>
      </w:r>
      <w:r w:rsidRPr="00834DE5">
        <w:rPr>
          <w:rFonts w:ascii="Times New Roman" w:hAnsi="Times New Roman" w:cs="Times New Roman"/>
          <w:lang w:val="es-CO"/>
        </w:rPr>
        <w:lastRenderedPageBreak/>
        <w:t xml:space="preserve">expectativas sobre los movimientos de la curva. Por ejemplo, cuando un inversor espera un aplanamiento, probablemente financiará compras de bonos a largo plazo con ventas en corto de bonos a corto plazo. Si espera lo contrario, es decir, un empinamiento, entonces financiará compras de bonos a corto plazo con ventas en corto de bonos a largo plazo. La proporción entre las posiciones cortas y largas será la necesaria para que </w:t>
      </w:r>
      <w:r>
        <w:rPr>
          <w:rFonts w:ascii="Times New Roman" w:hAnsi="Times New Roman" w:cs="Times New Roman"/>
          <w:lang w:val="es-CO"/>
        </w:rPr>
        <w:t>el</w:t>
      </w:r>
      <w:r w:rsidRPr="00834DE5">
        <w:rPr>
          <w:rFonts w:ascii="Times New Roman" w:hAnsi="Times New Roman" w:cs="Times New Roman"/>
          <w:lang w:val="es-CO"/>
        </w:rPr>
        <w:t xml:space="preserve"> DV01 de</w:t>
      </w:r>
      <w:r>
        <w:rPr>
          <w:rFonts w:ascii="Times New Roman" w:hAnsi="Times New Roman" w:cs="Times New Roman"/>
          <w:lang w:val="es-CO"/>
        </w:rPr>
        <w:t>l portafolio completo</w:t>
      </w:r>
      <w:r w:rsidRPr="00834DE5">
        <w:rPr>
          <w:rFonts w:ascii="Times New Roman" w:hAnsi="Times New Roman" w:cs="Times New Roman"/>
          <w:lang w:val="es-CO"/>
        </w:rPr>
        <w:t xml:space="preserve"> sea igual o cercan</w:t>
      </w:r>
      <w:r>
        <w:rPr>
          <w:rFonts w:ascii="Times New Roman" w:hAnsi="Times New Roman" w:cs="Times New Roman"/>
          <w:lang w:val="es-CO"/>
        </w:rPr>
        <w:t>o</w:t>
      </w:r>
      <w:r w:rsidRPr="00834DE5">
        <w:rPr>
          <w:rFonts w:ascii="Times New Roman" w:hAnsi="Times New Roman" w:cs="Times New Roman"/>
          <w:lang w:val="es-CO"/>
        </w:rPr>
        <w:t xml:space="preserve"> a cero</w:t>
      </w:r>
      <w:r>
        <w:rPr>
          <w:rFonts w:ascii="Times New Roman" w:hAnsi="Times New Roman" w:cs="Times New Roman"/>
          <w:lang w:val="es-CO"/>
        </w:rPr>
        <w:t>, es decir, se trata de un problema de minimización del riesgo de mercado en términos monetarios.</w:t>
      </w:r>
    </w:p>
    <w:p w14:paraId="63702EA8" w14:textId="77777777" w:rsidR="00834DE5" w:rsidRDefault="00834DE5">
      <w:pPr>
        <w:rPr>
          <w:rFonts w:ascii="Times New Roman" w:eastAsia="LM Roman 12" w:hAnsi="Times New Roman" w:cs="Times New Roman"/>
          <w:sz w:val="24"/>
          <w:szCs w:val="24"/>
        </w:rPr>
      </w:pPr>
      <w:r>
        <w:rPr>
          <w:rFonts w:ascii="Times New Roman" w:hAnsi="Times New Roman" w:cs="Times New Roman"/>
        </w:rPr>
        <w:br w:type="page"/>
      </w:r>
    </w:p>
    <w:p w14:paraId="37908E85" w14:textId="40D528F4" w:rsidR="00830FD4" w:rsidRDefault="00830FD4" w:rsidP="00830F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4</w:t>
      </w:r>
      <w:r w:rsidRPr="002167C3">
        <w:rPr>
          <w:rFonts w:ascii="Times New Roman" w:eastAsia="LM Roman 12" w:hAnsi="Times New Roman" w:cs="Times New Roman"/>
          <w:b/>
          <w:bCs/>
          <w:sz w:val="24"/>
          <w:szCs w:val="24"/>
        </w:rPr>
        <w:t xml:space="preserve">. </w:t>
      </w:r>
      <w:r w:rsidR="00EC6B14">
        <w:rPr>
          <w:rFonts w:ascii="Times New Roman" w:eastAsia="LM Roman 12" w:hAnsi="Times New Roman" w:cs="Times New Roman"/>
          <w:b/>
          <w:bCs/>
          <w:sz w:val="24"/>
          <w:szCs w:val="24"/>
        </w:rPr>
        <w:t>MODELACIÓN</w:t>
      </w:r>
    </w:p>
    <w:p w14:paraId="48DF8AFF" w14:textId="6A89D602" w:rsidR="00830FD4" w:rsidRDefault="00830FD4" w:rsidP="00830FD4">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4</w:t>
      </w:r>
      <w:r w:rsidRPr="00BE3BC8">
        <w:rPr>
          <w:rFonts w:ascii="Times New Roman" w:hAnsi="Times New Roman" w:cs="Times New Roman"/>
          <w:b/>
          <w:bCs/>
          <w:lang w:val="es-CO"/>
        </w:rPr>
        <w:t>.1</w:t>
      </w:r>
      <w:r>
        <w:rPr>
          <w:rFonts w:ascii="Times New Roman" w:hAnsi="Times New Roman" w:cs="Times New Roman"/>
          <w:b/>
          <w:bCs/>
          <w:lang w:val="es-CO"/>
        </w:rPr>
        <w:t xml:space="preserve"> Descripción y Exploración de los Datos</w:t>
      </w:r>
    </w:p>
    <w:p w14:paraId="4756F7A3" w14:textId="2562C7D8" w:rsidR="00E6438F" w:rsidRPr="000B0B2D" w:rsidRDefault="00E6438F" w:rsidP="00E6438F">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A</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Recolección de los Datos</w:t>
      </w:r>
    </w:p>
    <w:p w14:paraId="16BFACED" w14:textId="7B78FAAC" w:rsidR="003C58D0"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Los datos recopilados corresponden a los cierres individuales de operaciones de compraventa o simultáneas registrados en el mercado de renta fija soberana de títulos de tesorería (TES)</w:t>
      </w:r>
      <w:r w:rsidR="000F13AC">
        <w:rPr>
          <w:rFonts w:ascii="Times New Roman" w:hAnsi="Times New Roman" w:cs="Times New Roman"/>
          <w:lang w:val="es-CO"/>
        </w:rPr>
        <w:t xml:space="preserve"> entre enero de 2015 y diciembre de 2022</w:t>
      </w:r>
      <w:r w:rsidRPr="008464C5">
        <w:rPr>
          <w:rFonts w:ascii="Times New Roman" w:hAnsi="Times New Roman" w:cs="Times New Roman"/>
          <w:lang w:val="es-CO"/>
        </w:rPr>
        <w:t xml:space="preserve"> a través del SEN</w:t>
      </w:r>
      <w:r w:rsidR="000F13AC">
        <w:rPr>
          <w:rFonts w:ascii="Times New Roman" w:hAnsi="Times New Roman" w:cs="Times New Roman"/>
          <w:lang w:val="es-CO"/>
        </w:rPr>
        <w:t xml:space="preserve"> (Sistema Electrónico de Negociación)</w:t>
      </w:r>
      <w:r w:rsidRPr="008464C5">
        <w:rPr>
          <w:rFonts w:ascii="Times New Roman" w:hAnsi="Times New Roman" w:cs="Times New Roman"/>
          <w:lang w:val="es-CO"/>
        </w:rPr>
        <w:t>, administrado por el Banco de la República</w:t>
      </w:r>
      <w:r w:rsidR="003C58D0">
        <w:rPr>
          <w:rFonts w:ascii="Times New Roman" w:hAnsi="Times New Roman" w:cs="Times New Roman"/>
          <w:lang w:val="es-CO"/>
        </w:rPr>
        <w:t xml:space="preserve"> </w:t>
      </w:r>
      <w:sdt>
        <w:sdtPr>
          <w:rPr>
            <w:rFonts w:ascii="Times New Roman" w:hAnsi="Times New Roman" w:cs="Times New Roman"/>
            <w:lang w:val="es-CO"/>
          </w:rPr>
          <w:id w:val="-159305257"/>
          <w:citation/>
        </w:sdtPr>
        <w:sdtContent>
          <w:r w:rsidR="000F13AC">
            <w:rPr>
              <w:rFonts w:ascii="Times New Roman" w:hAnsi="Times New Roman" w:cs="Times New Roman"/>
              <w:lang w:val="es-CO"/>
            </w:rPr>
            <w:fldChar w:fldCharType="begin"/>
          </w:r>
          <w:r w:rsidR="000F13AC">
            <w:rPr>
              <w:rFonts w:ascii="Times New Roman" w:hAnsi="Times New Roman" w:cs="Times New Roman"/>
              <w:lang w:val="es-CO"/>
            </w:rPr>
            <w:instrText xml:space="preserve">CITATION Ban22 \n  \t  \l 9226 </w:instrText>
          </w:r>
          <w:r w:rsidR="000F13AC">
            <w:rPr>
              <w:rFonts w:ascii="Times New Roman" w:hAnsi="Times New Roman" w:cs="Times New Roman"/>
              <w:lang w:val="es-CO"/>
            </w:rPr>
            <w:fldChar w:fldCharType="separate"/>
          </w:r>
          <w:r w:rsidR="0068599F" w:rsidRPr="0068599F">
            <w:rPr>
              <w:rFonts w:ascii="Times New Roman" w:hAnsi="Times New Roman" w:cs="Times New Roman"/>
              <w:noProof/>
              <w:lang w:val="es-CO"/>
            </w:rPr>
            <w:t>(2022)</w:t>
          </w:r>
          <w:r w:rsidR="000F13AC">
            <w:rPr>
              <w:rFonts w:ascii="Times New Roman" w:hAnsi="Times New Roman" w:cs="Times New Roman"/>
              <w:lang w:val="es-CO"/>
            </w:rPr>
            <w:fldChar w:fldCharType="end"/>
          </w:r>
        </w:sdtContent>
      </w:sdt>
      <w:r w:rsidRPr="008464C5">
        <w:rPr>
          <w:rFonts w:ascii="Times New Roman" w:hAnsi="Times New Roman" w:cs="Times New Roman"/>
          <w:lang w:val="es-CO"/>
        </w:rPr>
        <w:t xml:space="preserve">. </w:t>
      </w:r>
    </w:p>
    <w:p w14:paraId="6713BB80" w14:textId="5B43041A" w:rsidR="007215D4" w:rsidRPr="007215D4" w:rsidRDefault="007215D4" w:rsidP="007215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Procesamiento y Estructuración de los Datos</w:t>
      </w:r>
    </w:p>
    <w:p w14:paraId="7F2F9202" w14:textId="1563CF66" w:rsidR="00E6438F"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Cada uno de los registros, corresponde</w:t>
      </w:r>
      <w:r w:rsidR="003C58D0">
        <w:rPr>
          <w:rFonts w:ascii="Times New Roman" w:hAnsi="Times New Roman" w:cs="Times New Roman"/>
          <w:lang w:val="es-CO"/>
        </w:rPr>
        <w:t xml:space="preserve"> </w:t>
      </w:r>
      <w:r w:rsidRPr="008464C5">
        <w:rPr>
          <w:rFonts w:ascii="Times New Roman" w:hAnsi="Times New Roman" w:cs="Times New Roman"/>
          <w:lang w:val="es-CO"/>
        </w:rPr>
        <w:t>a una transacción pactada entre dos contrapartes</w:t>
      </w:r>
      <w:r w:rsidR="00906ED1">
        <w:rPr>
          <w:rFonts w:ascii="Times New Roman" w:hAnsi="Times New Roman" w:cs="Times New Roman"/>
          <w:lang w:val="es-CO"/>
        </w:rPr>
        <w:t>, de las cuales solo se tomaron en cuenta las operaciones en la r</w:t>
      </w:r>
      <w:r w:rsidRPr="008464C5">
        <w:rPr>
          <w:rFonts w:ascii="Times New Roman" w:hAnsi="Times New Roman" w:cs="Times New Roman"/>
          <w:lang w:val="es-CO"/>
        </w:rPr>
        <w:t xml:space="preserve">ueda de contado, </w:t>
      </w:r>
      <w:r w:rsidR="00906ED1">
        <w:rPr>
          <w:rFonts w:ascii="Times New Roman" w:hAnsi="Times New Roman" w:cs="Times New Roman"/>
          <w:lang w:val="es-CO"/>
        </w:rPr>
        <w:t>en la cual</w:t>
      </w:r>
      <w:r w:rsidRPr="008464C5">
        <w:rPr>
          <w:rFonts w:ascii="Times New Roman" w:hAnsi="Times New Roman" w:cs="Times New Roman"/>
          <w:lang w:val="es-CO"/>
        </w:rPr>
        <w:t xml:space="preserve"> se encuentran las compraventas efectivas entre las dos contrapartes sobre TES a un precio determinado por ellas, con cumplimiento el mismo día.</w:t>
      </w:r>
      <w:r w:rsidR="00906ED1">
        <w:rPr>
          <w:rFonts w:ascii="Times New Roman" w:hAnsi="Times New Roman" w:cs="Times New Roman"/>
          <w:lang w:val="es-CO"/>
        </w:rPr>
        <w:t xml:space="preserve"> No se tienen en cuenta las operaciones de la rueda de simultáneas por ser estas operaciones de liquidez, es decir, préstamos entre agentes del mercado garantizados con TES, por lo cual estas operaciones no aportan a la formación de precios del mercado. Las transacciones son agrupadas por título y por día, ponderando la YTM negociada por los montos individuales de giro de cada una de las transacciones intradías de cada título.</w:t>
      </w:r>
      <w:r w:rsidR="00E6438F">
        <w:rPr>
          <w:rFonts w:ascii="Times New Roman" w:hAnsi="Times New Roman" w:cs="Times New Roman"/>
          <w:lang w:val="es-CO"/>
        </w:rPr>
        <w:t xml:space="preserve"> </w:t>
      </w:r>
    </w:p>
    <w:p w14:paraId="51E32529" w14:textId="77777777" w:rsidR="007215D4" w:rsidRPr="008464C5" w:rsidRDefault="007215D4" w:rsidP="007215D4">
      <w:pPr>
        <w:pStyle w:val="Textoindependiente"/>
        <w:spacing w:before="240" w:after="240" w:line="360" w:lineRule="auto"/>
        <w:ind w:right="124"/>
        <w:jc w:val="both"/>
        <w:rPr>
          <w:rFonts w:ascii="Times New Roman" w:hAnsi="Times New Roman" w:cs="Times New Roman"/>
          <w:lang w:val="es-CO"/>
        </w:rPr>
      </w:pPr>
      <w:r>
        <w:rPr>
          <w:rFonts w:ascii="Times New Roman" w:hAnsi="Times New Roman" w:cs="Times New Roman"/>
          <w:lang w:val="es-CO"/>
        </w:rPr>
        <w:t>Es muy importante tener en cuenta que cuando un título no se negocia durante un día bursátil, entonces este se valora utilizando la última YTM negociada, por lo que este será el método para rellenar datos faltantes, teniendo en cuenta, claro, si el título ya fue emitido y no ha madurado. Con esta consideración, el set de datos inicial, cuya estructura se evidencia en la tabla 1, queda con cinco columnas, así:</w:t>
      </w:r>
    </w:p>
    <w:p w14:paraId="12158072"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sidRPr="008464C5">
        <w:rPr>
          <w:rFonts w:ascii="Times New Roman" w:hAnsi="Times New Roman" w:cs="Times New Roman"/>
          <w:lang w:val="es-CO"/>
        </w:rPr>
        <w:t>Fecha</w:t>
      </w:r>
      <w:r>
        <w:rPr>
          <w:rFonts w:ascii="Times New Roman" w:hAnsi="Times New Roman" w:cs="Times New Roman"/>
          <w:lang w:val="es-CO"/>
        </w:rPr>
        <w:t xml:space="preserve">: </w:t>
      </w:r>
      <w:r w:rsidRPr="008464C5">
        <w:rPr>
          <w:rFonts w:ascii="Times New Roman" w:hAnsi="Times New Roman" w:cs="Times New Roman"/>
          <w:lang w:val="es-CO"/>
        </w:rPr>
        <w:t xml:space="preserve">Fecha </w:t>
      </w:r>
      <w:r>
        <w:rPr>
          <w:rFonts w:ascii="Times New Roman" w:hAnsi="Times New Roman" w:cs="Times New Roman"/>
          <w:lang w:val="es-CO"/>
        </w:rPr>
        <w:t xml:space="preserve">a la cual un título tiene una tasa cualquiera promedio ponderada. </w:t>
      </w:r>
    </w:p>
    <w:p w14:paraId="5DED5421"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Instrumento: Se refiere al nemotécnico del título negociado.</w:t>
      </w:r>
      <w:r>
        <w:rPr>
          <w:rStyle w:val="Refdenotaalpie"/>
          <w:rFonts w:ascii="Times New Roman" w:hAnsi="Times New Roman" w:cs="Times New Roman"/>
          <w:lang w:val="es-CO"/>
        </w:rPr>
        <w:footnoteReference w:id="5"/>
      </w:r>
      <w:r>
        <w:rPr>
          <w:rFonts w:ascii="Times New Roman" w:hAnsi="Times New Roman" w:cs="Times New Roman"/>
          <w:lang w:val="es-CO"/>
        </w:rPr>
        <w:t xml:space="preserve"> </w:t>
      </w:r>
    </w:p>
    <w:p w14:paraId="74C15119"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Tasa</w:t>
      </w:r>
      <w:r w:rsidRPr="008464C5">
        <w:rPr>
          <w:rFonts w:ascii="Times New Roman" w:hAnsi="Times New Roman" w:cs="Times New Roman"/>
          <w:lang w:val="es-CO"/>
        </w:rPr>
        <w:t>:</w:t>
      </w:r>
      <w:r>
        <w:rPr>
          <w:rFonts w:ascii="Times New Roman" w:hAnsi="Times New Roman" w:cs="Times New Roman"/>
          <w:lang w:val="es-CO"/>
        </w:rPr>
        <w:t xml:space="preserve"> Se refiere la tasa promedio ponderada negociada para un título en cierta fecha.</w:t>
      </w:r>
    </w:p>
    <w:p w14:paraId="3751277D" w14:textId="77777777" w:rsid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Fecha_Ems</w:t>
      </w:r>
      <w:proofErr w:type="spellEnd"/>
      <w:r w:rsidRPr="008464C5">
        <w:rPr>
          <w:rFonts w:ascii="Times New Roman" w:hAnsi="Times New Roman" w:cs="Times New Roman"/>
          <w:lang w:val="es-CO"/>
        </w:rPr>
        <w:t xml:space="preserve">: </w:t>
      </w:r>
      <w:r>
        <w:rPr>
          <w:rFonts w:ascii="Times New Roman" w:hAnsi="Times New Roman" w:cs="Times New Roman"/>
          <w:lang w:val="es-CO"/>
        </w:rPr>
        <w:t>Es la fecha de emisión del título.</w:t>
      </w:r>
    </w:p>
    <w:p w14:paraId="2E7C08A5" w14:textId="60DA9CD4" w:rsidR="007215D4" w:rsidRP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Fecha_Vto</w:t>
      </w:r>
      <w:proofErr w:type="spellEnd"/>
      <w:r>
        <w:rPr>
          <w:rFonts w:ascii="Times New Roman" w:hAnsi="Times New Roman" w:cs="Times New Roman"/>
          <w:lang w:val="es-CO"/>
        </w:rPr>
        <w:t>: Es la fecha de vencimiento del título.</w:t>
      </w:r>
    </w:p>
    <w:p w14:paraId="46B5C6BA" w14:textId="3E92CBF4" w:rsidR="003C58D0" w:rsidRDefault="003C58D0" w:rsidP="007417CA">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Tabla 1. Primeros dos días del data set inicial, limpio de datos faltantes y que será utilizado para obtener campos calculados necesarios para el análisis.</w:t>
      </w:r>
    </w:p>
    <w:p w14:paraId="409DD11C" w14:textId="2300118C" w:rsidR="003C58D0" w:rsidRDefault="007417CA" w:rsidP="007417CA">
      <w:pPr>
        <w:pStyle w:val="Textoindependiente"/>
        <w:spacing w:before="195" w:after="240"/>
        <w:ind w:right="124"/>
        <w:jc w:val="center"/>
        <w:rPr>
          <w:rFonts w:ascii="Times New Roman" w:hAnsi="Times New Roman" w:cs="Times New Roman"/>
          <w:lang w:val="es-CO"/>
        </w:rPr>
      </w:pPr>
      <w:r w:rsidRPr="007417CA">
        <w:drawing>
          <wp:inline distT="0" distB="0" distL="0" distR="0" wp14:anchorId="47832E95" wp14:editId="472CC745">
            <wp:extent cx="3668997" cy="2971800"/>
            <wp:effectExtent l="0" t="0" r="8255" b="0"/>
            <wp:docPr id="974855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334" cy="2989892"/>
                    </a:xfrm>
                    <a:prstGeom prst="rect">
                      <a:avLst/>
                    </a:prstGeom>
                    <a:noFill/>
                    <a:ln>
                      <a:noFill/>
                    </a:ln>
                  </pic:spPr>
                </pic:pic>
              </a:graphicData>
            </a:graphic>
          </wp:inline>
        </w:drawing>
      </w:r>
    </w:p>
    <w:p w14:paraId="2039D630" w14:textId="30105D23" w:rsidR="00C90E8B" w:rsidRDefault="007A21B0" w:rsidP="008464C5">
      <w:pPr>
        <w:pStyle w:val="Textoindependiente"/>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Los datos faciales de los títulos se utilizan posteriormente para agregar las siguientes columnas </w:t>
      </w:r>
      <w:proofErr w:type="gramStart"/>
      <w:r>
        <w:rPr>
          <w:rFonts w:ascii="Times New Roman" w:hAnsi="Times New Roman" w:cs="Times New Roman"/>
          <w:lang w:val="es-CO"/>
        </w:rPr>
        <w:t>al data</w:t>
      </w:r>
      <w:proofErr w:type="gramEnd"/>
      <w:r>
        <w:rPr>
          <w:rFonts w:ascii="Times New Roman" w:hAnsi="Times New Roman" w:cs="Times New Roman"/>
          <w:lang w:val="es-CO"/>
        </w:rPr>
        <w:t xml:space="preserve"> set</w:t>
      </w:r>
      <w:r w:rsidR="007215D4">
        <w:rPr>
          <w:rFonts w:ascii="Times New Roman" w:hAnsi="Times New Roman" w:cs="Times New Roman"/>
          <w:lang w:val="es-CO"/>
        </w:rPr>
        <w:t>, así</w:t>
      </w:r>
      <w:r>
        <w:rPr>
          <w:rFonts w:ascii="Times New Roman" w:hAnsi="Times New Roman" w:cs="Times New Roman"/>
          <w:lang w:val="es-CO"/>
        </w:rPr>
        <w:t>:</w:t>
      </w:r>
    </w:p>
    <w:p w14:paraId="43D0B2DC" w14:textId="7737098C"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Días_vto</w:t>
      </w:r>
      <w:proofErr w:type="spellEnd"/>
      <w:r>
        <w:rPr>
          <w:rFonts w:ascii="Times New Roman" w:hAnsi="Times New Roman" w:cs="Times New Roman"/>
          <w:lang w:val="es-CO"/>
        </w:rPr>
        <w:t xml:space="preserve">: </w:t>
      </w:r>
      <w:r>
        <w:rPr>
          <w:rFonts w:ascii="Times New Roman" w:hAnsi="Times New Roman" w:cs="Times New Roman"/>
          <w:lang w:val="es-CO"/>
        </w:rPr>
        <w:t xml:space="preserve">Son los días al vencimiento del título negociado y se calculan como la diferencia en días entre las columnas </w:t>
      </w:r>
      <w:proofErr w:type="spellStart"/>
      <w:r>
        <w:rPr>
          <w:rFonts w:ascii="Times New Roman" w:hAnsi="Times New Roman" w:cs="Times New Roman"/>
          <w:lang w:val="es-CO"/>
        </w:rPr>
        <w:t>Fecha_Vto</w:t>
      </w:r>
      <w:proofErr w:type="spellEnd"/>
      <w:r>
        <w:rPr>
          <w:rFonts w:ascii="Times New Roman" w:hAnsi="Times New Roman" w:cs="Times New Roman"/>
          <w:lang w:val="es-CO"/>
        </w:rPr>
        <w:t xml:space="preserve"> y Fecha.</w:t>
      </w:r>
    </w:p>
    <w:p w14:paraId="386A782A" w14:textId="21A02A4A"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PL</w:t>
      </w:r>
      <w:r>
        <w:rPr>
          <w:rFonts w:ascii="Times New Roman" w:hAnsi="Times New Roman" w:cs="Times New Roman"/>
          <w:lang w:val="es-CO"/>
        </w:rPr>
        <w:t xml:space="preserve">: </w:t>
      </w:r>
      <w:r>
        <w:rPr>
          <w:rFonts w:ascii="Times New Roman" w:hAnsi="Times New Roman" w:cs="Times New Roman"/>
          <w:lang w:val="es-CO"/>
        </w:rPr>
        <w:t>Precio Limpio del título negociado en base 1, usando la ecuación (9)</w:t>
      </w:r>
      <w:r>
        <w:rPr>
          <w:rFonts w:ascii="Times New Roman" w:hAnsi="Times New Roman" w:cs="Times New Roman"/>
          <w:lang w:val="es-CO"/>
        </w:rPr>
        <w:t>.</w:t>
      </w:r>
    </w:p>
    <w:p w14:paraId="7BA2A246" w14:textId="33A901ED" w:rsidR="007A21B0" w:rsidRDefault="007A21B0" w:rsidP="00014CBC">
      <w:pPr>
        <w:pStyle w:val="Textoindependiente"/>
        <w:numPr>
          <w:ilvl w:val="0"/>
          <w:numId w:val="19"/>
        </w:numPr>
        <w:spacing w:before="240" w:line="360" w:lineRule="auto"/>
        <w:ind w:right="124"/>
        <w:jc w:val="both"/>
        <w:rPr>
          <w:rFonts w:ascii="Times New Roman" w:hAnsi="Times New Roman" w:cs="Times New Roman"/>
          <w:lang w:val="es-CO"/>
        </w:rPr>
      </w:pPr>
      <w:r w:rsidRPr="007A21B0">
        <w:rPr>
          <w:rFonts w:ascii="Times New Roman" w:hAnsi="Times New Roman" w:cs="Times New Roman"/>
          <w:lang w:val="es-CO"/>
        </w:rPr>
        <w:t>PS</w:t>
      </w:r>
      <w:r w:rsidRPr="007A21B0">
        <w:rPr>
          <w:rFonts w:ascii="Times New Roman" w:hAnsi="Times New Roman" w:cs="Times New Roman"/>
          <w:lang w:val="es-CO"/>
        </w:rPr>
        <w:t xml:space="preserve">: </w:t>
      </w:r>
      <w:r>
        <w:rPr>
          <w:rFonts w:ascii="Times New Roman" w:hAnsi="Times New Roman" w:cs="Times New Roman"/>
          <w:lang w:val="es-CO"/>
        </w:rPr>
        <w:t>Precio Limpio del título negociado</w:t>
      </w:r>
      <w:r>
        <w:rPr>
          <w:rFonts w:ascii="Times New Roman" w:hAnsi="Times New Roman" w:cs="Times New Roman"/>
          <w:lang w:val="es-CO"/>
        </w:rPr>
        <w:t xml:space="preserve"> en base 1</w:t>
      </w:r>
      <w:r>
        <w:rPr>
          <w:rFonts w:ascii="Times New Roman" w:hAnsi="Times New Roman" w:cs="Times New Roman"/>
          <w:lang w:val="es-CO"/>
        </w:rPr>
        <w:t xml:space="preserve">, usando la ecuación </w:t>
      </w:r>
      <w:r>
        <w:rPr>
          <w:rFonts w:ascii="Times New Roman" w:hAnsi="Times New Roman" w:cs="Times New Roman"/>
          <w:lang w:val="es-CO"/>
        </w:rPr>
        <w:t>(10).</w:t>
      </w:r>
    </w:p>
    <w:p w14:paraId="10D1450D" w14:textId="0E197A2E"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xml:space="preserve"> del título negociado, usando la ecuación (1</w:t>
      </w:r>
      <w:r>
        <w:rPr>
          <w:rFonts w:ascii="Times New Roman" w:hAnsi="Times New Roman" w:cs="Times New Roman"/>
          <w:lang w:val="es-CO"/>
        </w:rPr>
        <w:t>1</w:t>
      </w:r>
      <w:r>
        <w:rPr>
          <w:rFonts w:ascii="Times New Roman" w:hAnsi="Times New Roman" w:cs="Times New Roman"/>
          <w:lang w:val="es-CO"/>
        </w:rPr>
        <w:t>).</w:t>
      </w:r>
    </w:p>
    <w:p w14:paraId="6245F804" w14:textId="5B0287F7"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 xml:space="preserve">Duración </w:t>
      </w:r>
      <w:r>
        <w:rPr>
          <w:rFonts w:ascii="Times New Roman" w:hAnsi="Times New Roman" w:cs="Times New Roman"/>
          <w:lang w:val="es-CO"/>
        </w:rPr>
        <w:t xml:space="preserve">Modificada </w:t>
      </w:r>
      <w:r>
        <w:rPr>
          <w:rFonts w:ascii="Times New Roman" w:hAnsi="Times New Roman" w:cs="Times New Roman"/>
          <w:lang w:val="es-CO"/>
        </w:rPr>
        <w:t>del título negociado, usando la ecuación (1</w:t>
      </w:r>
      <w:r>
        <w:rPr>
          <w:rFonts w:ascii="Times New Roman" w:hAnsi="Times New Roman" w:cs="Times New Roman"/>
          <w:lang w:val="es-CO"/>
        </w:rPr>
        <w:t>2</w:t>
      </w:r>
      <w:r>
        <w:rPr>
          <w:rFonts w:ascii="Times New Roman" w:hAnsi="Times New Roman" w:cs="Times New Roman"/>
          <w:lang w:val="es-CO"/>
        </w:rPr>
        <w:t>).</w:t>
      </w:r>
    </w:p>
    <w:p w14:paraId="281858E8" w14:textId="1087FFDF"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DV01</w:t>
      </w:r>
      <w:r w:rsidRPr="007A21B0">
        <w:rPr>
          <w:rFonts w:ascii="Times New Roman" w:hAnsi="Times New Roman" w:cs="Times New Roman"/>
          <w:lang w:val="es-CO"/>
        </w:rPr>
        <w:t xml:space="preserve">: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en pesos colombianos</w:t>
      </w:r>
      <w:r>
        <w:rPr>
          <w:rFonts w:ascii="Times New Roman" w:hAnsi="Times New Roman" w:cs="Times New Roman"/>
          <w:lang w:val="es-CO"/>
        </w:rPr>
        <w:t xml:space="preserve"> del título negociado, usando la ecuación (1</w:t>
      </w:r>
      <w:r>
        <w:rPr>
          <w:rFonts w:ascii="Times New Roman" w:hAnsi="Times New Roman" w:cs="Times New Roman"/>
          <w:lang w:val="es-CO"/>
        </w:rPr>
        <w:t>5</w:t>
      </w:r>
      <w:r>
        <w:rPr>
          <w:rFonts w:ascii="Times New Roman" w:hAnsi="Times New Roman" w:cs="Times New Roman"/>
          <w:lang w:val="es-CO"/>
        </w:rPr>
        <w:t>).</w:t>
      </w:r>
    </w:p>
    <w:p w14:paraId="1331C892" w14:textId="37AB7872" w:rsidR="007215D4" w:rsidRDefault="007A21B0"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CVX</w:t>
      </w:r>
      <w:r w:rsidRPr="007A21B0">
        <w:rPr>
          <w:rFonts w:ascii="Times New Roman" w:hAnsi="Times New Roman" w:cs="Times New Roman"/>
          <w:lang w:val="es-CO"/>
        </w:rPr>
        <w:t xml:space="preserve">: </w:t>
      </w:r>
      <w:r>
        <w:rPr>
          <w:rFonts w:ascii="Times New Roman" w:hAnsi="Times New Roman" w:cs="Times New Roman"/>
          <w:lang w:val="es-CO"/>
        </w:rPr>
        <w:t xml:space="preserve">Convexidad </w:t>
      </w:r>
      <w:r>
        <w:rPr>
          <w:rFonts w:ascii="Times New Roman" w:hAnsi="Times New Roman" w:cs="Times New Roman"/>
          <w:lang w:val="es-CO"/>
        </w:rPr>
        <w:t>del título negociado, usando la ecuación (1</w:t>
      </w:r>
      <w:r>
        <w:rPr>
          <w:rFonts w:ascii="Times New Roman" w:hAnsi="Times New Roman" w:cs="Times New Roman"/>
          <w:lang w:val="es-CO"/>
        </w:rPr>
        <w:t>3</w:t>
      </w:r>
      <w:r>
        <w:rPr>
          <w:rFonts w:ascii="Times New Roman" w:hAnsi="Times New Roman" w:cs="Times New Roman"/>
          <w:lang w:val="es-CO"/>
        </w:rPr>
        <w:t>).</w:t>
      </w:r>
    </w:p>
    <w:p w14:paraId="38C6DB86" w14:textId="6E80D927" w:rsidR="007215D4" w:rsidRDefault="007215D4" w:rsidP="007215D4">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La estructura final de los datos se muestra en la tabla 2, en donde se muestran las columnas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inicial más las columnas con campos calculados.</w:t>
      </w:r>
    </w:p>
    <w:p w14:paraId="07CA629B" w14:textId="5F80B166" w:rsidR="007215D4" w:rsidRDefault="007215D4" w:rsidP="007215D4">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 xml:space="preserve">Tabla </w:t>
      </w:r>
      <w:r>
        <w:rPr>
          <w:rFonts w:ascii="Times New Roman" w:hAnsi="Times New Roman" w:cs="Times New Roman"/>
          <w:lang w:val="es-CO"/>
        </w:rPr>
        <w:t>2</w:t>
      </w:r>
      <w:r>
        <w:rPr>
          <w:rFonts w:ascii="Times New Roman" w:hAnsi="Times New Roman" w:cs="Times New Roman"/>
          <w:lang w:val="es-CO"/>
        </w:rPr>
        <w:t xml:space="preserve">. Primeros dos días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w:t>
      </w:r>
      <w:r>
        <w:rPr>
          <w:rFonts w:ascii="Times New Roman" w:hAnsi="Times New Roman" w:cs="Times New Roman"/>
          <w:lang w:val="es-CO"/>
        </w:rPr>
        <w:t>final</w:t>
      </w:r>
      <w:r>
        <w:rPr>
          <w:rFonts w:ascii="Times New Roman" w:hAnsi="Times New Roman" w:cs="Times New Roman"/>
          <w:lang w:val="es-CO"/>
        </w:rPr>
        <w:t>, limpio de datos faltantes y que será utilizado</w:t>
      </w:r>
      <w:r>
        <w:rPr>
          <w:rFonts w:ascii="Times New Roman" w:hAnsi="Times New Roman" w:cs="Times New Roman"/>
          <w:lang w:val="es-CO"/>
        </w:rPr>
        <w:t xml:space="preserve"> por los modelos para realizar operaciones de compraventa</w:t>
      </w:r>
      <w:r>
        <w:rPr>
          <w:rFonts w:ascii="Times New Roman" w:hAnsi="Times New Roman" w:cs="Times New Roman"/>
          <w:lang w:val="es-CO"/>
        </w:rPr>
        <w:t>.</w:t>
      </w:r>
    </w:p>
    <w:p w14:paraId="746487A5" w14:textId="0163C79A" w:rsidR="007215D4" w:rsidRDefault="007215D4" w:rsidP="007215D4">
      <w:pPr>
        <w:pStyle w:val="Textoindependiente"/>
        <w:spacing w:before="240" w:line="360" w:lineRule="auto"/>
        <w:ind w:right="124"/>
        <w:jc w:val="both"/>
        <w:rPr>
          <w:rFonts w:ascii="Times New Roman" w:hAnsi="Times New Roman" w:cs="Times New Roman"/>
          <w:lang w:val="es-CO"/>
        </w:rPr>
      </w:pPr>
      <w:r w:rsidRPr="007215D4">
        <w:drawing>
          <wp:inline distT="0" distB="0" distL="0" distR="0" wp14:anchorId="7E9DE28B" wp14:editId="4CC5B9D5">
            <wp:extent cx="5612130" cy="2400935"/>
            <wp:effectExtent l="0" t="0" r="7620" b="0"/>
            <wp:docPr id="13121096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00935"/>
                    </a:xfrm>
                    <a:prstGeom prst="rect">
                      <a:avLst/>
                    </a:prstGeom>
                    <a:noFill/>
                    <a:ln>
                      <a:noFill/>
                    </a:ln>
                  </pic:spPr>
                </pic:pic>
              </a:graphicData>
            </a:graphic>
          </wp:inline>
        </w:drawing>
      </w:r>
    </w:p>
    <w:p w14:paraId="4E0DABEF" w14:textId="3860BEAA" w:rsidR="007215D4" w:rsidRPr="000B0B2D" w:rsidRDefault="007215D4" w:rsidP="007215D4">
      <w:pPr>
        <w:spacing w:before="240"/>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Exploración de los Datos</w:t>
      </w:r>
    </w:p>
    <w:p w14:paraId="1FE923C3" w14:textId="77777777" w:rsidR="007215D4" w:rsidRPr="007215D4" w:rsidRDefault="007215D4" w:rsidP="007215D4">
      <w:pPr>
        <w:pStyle w:val="Textoindependiente"/>
        <w:spacing w:before="240" w:line="360" w:lineRule="auto"/>
        <w:ind w:right="124"/>
        <w:jc w:val="both"/>
        <w:rPr>
          <w:rFonts w:ascii="Times New Roman" w:hAnsi="Times New Roman" w:cs="Times New Roman"/>
          <w:lang w:val="es-CO"/>
        </w:rPr>
      </w:pPr>
    </w:p>
    <w:p w14:paraId="4AAA8D87" w14:textId="77777777" w:rsidR="00830FD4" w:rsidRDefault="00830FD4" w:rsidP="00830FD4">
      <w:pPr>
        <w:rPr>
          <w:rFonts w:ascii="Times New Roman" w:eastAsia="LM Roman 12" w:hAnsi="Times New Roman" w:cs="Times New Roman"/>
          <w:b/>
          <w:bCs/>
          <w:sz w:val="24"/>
          <w:szCs w:val="24"/>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lastRenderedPageBreak/>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lastRenderedPageBreak/>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3">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6">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5">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6">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8">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0" w:name="Decision_Tree"/>
      <w:bookmarkEnd w:id="0"/>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1" w:name="Basic_Problem"/>
      <w:bookmarkEnd w:id="1"/>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2" w:name="Single_Decision_Tree"/>
      <w:bookmarkEnd w:id="2"/>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6"/>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0"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3" w:name="_bookmark2"/>
      <w:bookmarkEnd w:id="3"/>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4" w:name="Limit_Maximum_Depth"/>
      <w:bookmarkEnd w:id="4"/>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1"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5" w:name="_bookmark3"/>
      <w:bookmarkEnd w:id="5"/>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2"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3"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6" w:name="Random_Forest"/>
      <w:bookmarkEnd w:id="6"/>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5"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6"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7" w:name="_bookmark4"/>
      <w:bookmarkEnd w:id="7"/>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8" w:name="Random_Forest_Optimization_through_Rando"/>
      <w:bookmarkEnd w:id="8"/>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9" w:name="_bookmark5"/>
      <w:bookmarkEnd w:id="9"/>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5"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0" w:name="Using_Random_Forest_Optimization"/>
      <w:bookmarkEnd w:id="10"/>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1" w:name="_bookmark7"/>
      <w:bookmarkEnd w:id="11"/>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2" w:name="Regression_Tree"/>
      <w:bookmarkEnd w:id="12"/>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3" w:name="Conclusions"/>
      <w:bookmarkEnd w:id="13"/>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FD3A6B9" w14:textId="77777777" w:rsidR="0068599F" w:rsidRPr="0068599F" w:rsidRDefault="000E4763" w:rsidP="0068599F">
              <w:pPr>
                <w:pStyle w:val="Bibliografa"/>
                <w:ind w:left="720" w:hanging="720"/>
                <w:rPr>
                  <w:noProof/>
                  <w:sz w:val="24"/>
                  <w:szCs w:val="24"/>
                  <w:lang w:val="en-US"/>
                </w:rPr>
              </w:pPr>
              <w:r w:rsidRPr="000E4763">
                <w:rPr>
                  <w:rFonts w:ascii="Times New Roman" w:hAnsi="Times New Roman" w:cs="Times New Roman"/>
                </w:rPr>
                <w:fldChar w:fldCharType="begin"/>
              </w:r>
              <w:r w:rsidRPr="0068599F">
                <w:rPr>
                  <w:rFonts w:ascii="Times New Roman" w:hAnsi="Times New Roman" w:cs="Times New Roman"/>
                  <w:lang w:val="en-US"/>
                </w:rPr>
                <w:instrText>BIBLIOGRAPHY</w:instrText>
              </w:r>
              <w:r w:rsidRPr="000E4763">
                <w:rPr>
                  <w:rFonts w:ascii="Times New Roman" w:hAnsi="Times New Roman" w:cs="Times New Roman"/>
                </w:rPr>
                <w:fldChar w:fldCharType="separate"/>
              </w:r>
              <w:r w:rsidR="0068599F" w:rsidRPr="0068599F">
                <w:rPr>
                  <w:noProof/>
                  <w:lang w:val="en-US"/>
                </w:rPr>
                <w:t xml:space="preserve">Ang, S., Alles, L., &amp; Allen, D. (1998). Riding the yield curve: An analysis of international evidence. </w:t>
              </w:r>
              <w:r w:rsidR="0068599F" w:rsidRPr="0068599F">
                <w:rPr>
                  <w:i/>
                  <w:iCs/>
                  <w:noProof/>
                  <w:lang w:val="en-US"/>
                </w:rPr>
                <w:t>The Journal of Fixed Income, 8</w:t>
              </w:r>
              <w:r w:rsidR="0068599F" w:rsidRPr="0068599F">
                <w:rPr>
                  <w:noProof/>
                  <w:lang w:val="en-US"/>
                </w:rPr>
                <w:t>(3), 57-74.</w:t>
              </w:r>
            </w:p>
            <w:p w14:paraId="55AFDDC0" w14:textId="77777777" w:rsidR="0068599F" w:rsidRPr="0068599F" w:rsidRDefault="0068599F" w:rsidP="0068599F">
              <w:pPr>
                <w:pStyle w:val="Bibliografa"/>
                <w:ind w:left="720" w:hanging="720"/>
                <w:rPr>
                  <w:noProof/>
                  <w:lang w:val="en-US"/>
                </w:rPr>
              </w:pPr>
              <w:r w:rsidRPr="0068599F">
                <w:rPr>
                  <w:noProof/>
                  <w:lang w:val="en-US"/>
                </w:rPr>
                <w:t xml:space="preserve">Arulkumaran, K., Deisenroth, M. P., Brundage, M., &amp; Bharath, A. A. (2017). Deep Reinforcement Learning: A Brief Survey. </w:t>
              </w:r>
              <w:r w:rsidRPr="0068599F">
                <w:rPr>
                  <w:i/>
                  <w:iCs/>
                  <w:noProof/>
                  <w:lang w:val="en-US"/>
                </w:rPr>
                <w:t>IEEE Signal Processing Magazine, 34</w:t>
              </w:r>
              <w:r w:rsidRPr="0068599F">
                <w:rPr>
                  <w:noProof/>
                  <w:lang w:val="en-US"/>
                </w:rPr>
                <w:t>(6), 26-38. https://doi.org/10.1109/MSP.2017.2743240</w:t>
              </w:r>
            </w:p>
            <w:p w14:paraId="56DAE0B8" w14:textId="77777777" w:rsidR="0068599F" w:rsidRDefault="0068599F" w:rsidP="0068599F">
              <w:pPr>
                <w:pStyle w:val="Bibliografa"/>
                <w:ind w:left="720" w:hanging="720"/>
                <w:rPr>
                  <w:noProof/>
                  <w:lang w:val="es-ES"/>
                </w:rPr>
              </w:pPr>
              <w:r>
                <w:rPr>
                  <w:noProof/>
                  <w:lang w:val="es-ES"/>
                </w:rPr>
                <w:t xml:space="preserve">Banco de la República. (12 de 2022). </w:t>
              </w:r>
              <w:r>
                <w:rPr>
                  <w:i/>
                  <w:iCs/>
                  <w:noProof/>
                  <w:lang w:val="es-ES"/>
                </w:rPr>
                <w:t>Estadísticas SEN: Banco de la República.</w:t>
              </w:r>
              <w:r>
                <w:rPr>
                  <w:noProof/>
                  <w:lang w:val="es-ES"/>
                </w:rPr>
                <w:t xml:space="preserve"> Banco de la República: https://www.banrep.gov.co/es/sistemas-pago/estadisticas-sen</w:t>
              </w:r>
            </w:p>
            <w:p w14:paraId="25EBE81C" w14:textId="77777777" w:rsidR="0068599F" w:rsidRPr="0068599F" w:rsidRDefault="0068599F" w:rsidP="0068599F">
              <w:pPr>
                <w:pStyle w:val="Bibliografa"/>
                <w:ind w:left="720" w:hanging="720"/>
                <w:rPr>
                  <w:noProof/>
                  <w:lang w:val="en-US"/>
                </w:rPr>
              </w:pPr>
              <w:r w:rsidRPr="0068599F">
                <w:rPr>
                  <w:noProof/>
                  <w:lang w:val="en-US"/>
                </w:rPr>
                <w:t xml:space="preserve">Bellman, R. (1952). On the Theory of Dynamic Programming. </w:t>
              </w:r>
              <w:r w:rsidRPr="0068599F">
                <w:rPr>
                  <w:i/>
                  <w:iCs/>
                  <w:noProof/>
                  <w:lang w:val="en-US"/>
                </w:rPr>
                <w:t>Proceedings of the National Academy of Sciences, 38</w:t>
              </w:r>
              <w:r w:rsidRPr="0068599F">
                <w:rPr>
                  <w:noProof/>
                  <w:lang w:val="en-US"/>
                </w:rPr>
                <w:t>(8), 716-719. https://doi.org/10.1073/pnas.38.8.716</w:t>
              </w:r>
            </w:p>
            <w:p w14:paraId="663437E9" w14:textId="77777777" w:rsidR="0068599F" w:rsidRPr="0068599F" w:rsidRDefault="0068599F" w:rsidP="0068599F">
              <w:pPr>
                <w:pStyle w:val="Bibliografa"/>
                <w:ind w:left="720" w:hanging="720"/>
                <w:rPr>
                  <w:noProof/>
                  <w:lang w:val="en-US"/>
                </w:rPr>
              </w:pPr>
              <w:r w:rsidRPr="0068599F">
                <w:rPr>
                  <w:noProof/>
                  <w:lang w:val="en-US"/>
                </w:rPr>
                <w:t xml:space="preserve">Bellman, R. (1966). Dynamic programming. </w:t>
              </w:r>
              <w:r w:rsidRPr="0068599F">
                <w:rPr>
                  <w:i/>
                  <w:iCs/>
                  <w:noProof/>
                  <w:lang w:val="en-US"/>
                </w:rPr>
                <w:t>Science, 153</w:t>
              </w:r>
              <w:r w:rsidRPr="0068599F">
                <w:rPr>
                  <w:noProof/>
                  <w:lang w:val="en-US"/>
                </w:rPr>
                <w:t>(3731), 34-37. https://doi.org/10.1126/science.153.3731.34</w:t>
              </w:r>
            </w:p>
            <w:p w14:paraId="7C51D941" w14:textId="77777777" w:rsidR="0068599F" w:rsidRDefault="0068599F" w:rsidP="0068599F">
              <w:pPr>
                <w:pStyle w:val="Bibliografa"/>
                <w:ind w:left="720" w:hanging="720"/>
                <w:rPr>
                  <w:noProof/>
                  <w:lang w:val="es-ES"/>
                </w:rPr>
              </w:pPr>
              <w:r w:rsidRPr="0068599F">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6B089D3A" w14:textId="77777777" w:rsidR="0068599F" w:rsidRDefault="0068599F" w:rsidP="0068599F">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84BBC5" w14:textId="77777777" w:rsidR="0068599F" w:rsidRPr="0068599F" w:rsidRDefault="0068599F" w:rsidP="0068599F">
              <w:pPr>
                <w:pStyle w:val="Bibliografa"/>
                <w:ind w:left="720" w:hanging="720"/>
                <w:rPr>
                  <w:noProof/>
                  <w:lang w:val="en-US"/>
                </w:rPr>
              </w:pPr>
              <w:r w:rsidRPr="0068599F">
                <w:rPr>
                  <w:noProof/>
                  <w:lang w:val="en-US"/>
                </w:rPr>
                <w:t xml:space="preserve">Busoniu, L., Babuska, R., &amp; De Schutter, B. (2008). A Comprehensive Survey of Multiagent Reinforcement Learning. </w:t>
              </w:r>
              <w:r w:rsidRPr="0068599F">
                <w:rPr>
                  <w:i/>
                  <w:iCs/>
                  <w:noProof/>
                  <w:lang w:val="en-US"/>
                </w:rPr>
                <w:t>IEEE Transactions on Systems, Man, and Cybernetics, Part C (Applications and Reviews), 38</w:t>
              </w:r>
              <w:r w:rsidRPr="0068599F">
                <w:rPr>
                  <w:noProof/>
                  <w:lang w:val="en-US"/>
                </w:rPr>
                <w:t>(2), 156-172. https://doi.org/10.1109/TSMCC.2007.913919</w:t>
              </w:r>
            </w:p>
            <w:p w14:paraId="33245E97" w14:textId="77777777" w:rsidR="0068599F" w:rsidRPr="0068599F" w:rsidRDefault="0068599F" w:rsidP="0068599F">
              <w:pPr>
                <w:pStyle w:val="Bibliografa"/>
                <w:ind w:left="720" w:hanging="720"/>
                <w:rPr>
                  <w:noProof/>
                  <w:lang w:val="en-US"/>
                </w:rPr>
              </w:pPr>
              <w:r>
                <w:rPr>
                  <w:noProof/>
                  <w:lang w:val="es-ES"/>
                </w:rPr>
                <w:t xml:space="preserve">Carapuco, J., Ferreira-Neves, R., &amp; Horta, N. C. (2018). </w:t>
              </w:r>
              <w:r w:rsidRPr="0068599F">
                <w:rPr>
                  <w:noProof/>
                  <w:lang w:val="en-US"/>
                </w:rPr>
                <w:t xml:space="preserve">Reinforcement learning applied to forex trading. </w:t>
              </w:r>
              <w:r w:rsidRPr="0068599F">
                <w:rPr>
                  <w:i/>
                  <w:iCs/>
                  <w:noProof/>
                  <w:lang w:val="en-US"/>
                </w:rPr>
                <w:t>Applied Soft Computing, 73</w:t>
              </w:r>
              <w:r w:rsidRPr="0068599F">
                <w:rPr>
                  <w:noProof/>
                  <w:lang w:val="en-US"/>
                </w:rPr>
                <w:t>, 783-794. https://doi.org/10.1016/j.asoc.2018.09.017</w:t>
              </w:r>
            </w:p>
            <w:p w14:paraId="154DA186" w14:textId="77777777" w:rsidR="0068599F" w:rsidRPr="0068599F" w:rsidRDefault="0068599F" w:rsidP="0068599F">
              <w:pPr>
                <w:pStyle w:val="Bibliografa"/>
                <w:ind w:left="720" w:hanging="720"/>
                <w:rPr>
                  <w:noProof/>
                  <w:lang w:val="en-US"/>
                </w:rPr>
              </w:pPr>
              <w:r w:rsidRPr="0068599F">
                <w:rPr>
                  <w:noProof/>
                  <w:lang w:val="en-US"/>
                </w:rPr>
                <w:t xml:space="preserve">Carta, S., Rerreira, A., Podda, A. S., Recupero, D. R., &amp; Sannai, A. (2021). Multi-dqn: An ensemble of deep q-learning agents for stock market forecasting. </w:t>
              </w:r>
              <w:r w:rsidRPr="0068599F">
                <w:rPr>
                  <w:i/>
                  <w:iCs/>
                  <w:noProof/>
                  <w:lang w:val="en-US"/>
                </w:rPr>
                <w:t>Expert Systems with Applications, 164</w:t>
              </w:r>
              <w:r w:rsidRPr="0068599F">
                <w:rPr>
                  <w:noProof/>
                  <w:lang w:val="en-US"/>
                </w:rPr>
                <w:t>, 113820. https://doi.org/10.1016/j.eswa.2020.113820</w:t>
              </w:r>
            </w:p>
            <w:p w14:paraId="5E3A3CE9" w14:textId="77777777" w:rsidR="0068599F" w:rsidRPr="0068599F" w:rsidRDefault="0068599F" w:rsidP="0068599F">
              <w:pPr>
                <w:pStyle w:val="Bibliografa"/>
                <w:ind w:left="720" w:hanging="720"/>
                <w:rPr>
                  <w:noProof/>
                  <w:lang w:val="en-US"/>
                </w:rPr>
              </w:pPr>
              <w:r w:rsidRPr="0068599F">
                <w:rPr>
                  <w:noProof/>
                  <w:lang w:val="en-US"/>
                </w:rPr>
                <w:t xml:space="preserve">Chua, C. T., Koh, W. T., &amp; Ramaswamy, K. (2005). Comparing returns of US treasuries versus equities: implications for market and portfolio efficiency. </w:t>
              </w:r>
              <w:r w:rsidRPr="0068599F">
                <w:rPr>
                  <w:i/>
                  <w:iCs/>
                  <w:noProof/>
                  <w:lang w:val="en-US"/>
                </w:rPr>
                <w:t>Applied Financial Economics, 15</w:t>
              </w:r>
              <w:r w:rsidRPr="0068599F">
                <w:rPr>
                  <w:noProof/>
                  <w:lang w:val="en-US"/>
                </w:rPr>
                <w:t>(17), 1213-1218.</w:t>
              </w:r>
            </w:p>
            <w:p w14:paraId="7B3FAF6D" w14:textId="77777777" w:rsidR="0068599F" w:rsidRPr="0068599F" w:rsidRDefault="0068599F" w:rsidP="0068599F">
              <w:pPr>
                <w:pStyle w:val="Bibliografa"/>
                <w:ind w:left="720" w:hanging="720"/>
                <w:rPr>
                  <w:noProof/>
                  <w:lang w:val="en-US"/>
                </w:rPr>
              </w:pPr>
              <w:r w:rsidRPr="0068599F">
                <w:rPr>
                  <w:noProof/>
                  <w:lang w:val="en-US"/>
                </w:rPr>
                <w:t xml:space="preserve">Dixon, M., Halperin, I., &amp; Bilokon, P. (2020). </w:t>
              </w:r>
              <w:r w:rsidRPr="0068599F">
                <w:rPr>
                  <w:i/>
                  <w:iCs/>
                  <w:noProof/>
                  <w:lang w:val="en-US"/>
                </w:rPr>
                <w:t>Machine Learning in Finance: From Theory to Practice.</w:t>
              </w:r>
              <w:r w:rsidRPr="0068599F">
                <w:rPr>
                  <w:noProof/>
                  <w:lang w:val="en-US"/>
                </w:rPr>
                <w:t xml:space="preserve"> Springer International.</w:t>
              </w:r>
            </w:p>
            <w:p w14:paraId="5539E14E" w14:textId="77777777" w:rsidR="0068599F" w:rsidRPr="0068599F" w:rsidRDefault="0068599F" w:rsidP="0068599F">
              <w:pPr>
                <w:pStyle w:val="Bibliografa"/>
                <w:ind w:left="720" w:hanging="720"/>
                <w:rPr>
                  <w:noProof/>
                  <w:lang w:val="en-US"/>
                </w:rPr>
              </w:pPr>
              <w:r w:rsidRPr="0068599F">
                <w:rPr>
                  <w:noProof/>
                  <w:lang w:val="en-US"/>
                </w:rPr>
                <w:t xml:space="preserve">Dyl, E., &amp; Joehnk, M. D. (1981). Riding the yield curve: does it work? </w:t>
              </w:r>
              <w:r w:rsidRPr="0068599F">
                <w:rPr>
                  <w:i/>
                  <w:iCs/>
                  <w:noProof/>
                  <w:lang w:val="en-US"/>
                </w:rPr>
                <w:t>The journal of portfolio management, 7</w:t>
              </w:r>
              <w:r w:rsidRPr="0068599F">
                <w:rPr>
                  <w:noProof/>
                  <w:lang w:val="en-US"/>
                </w:rPr>
                <w:t>(3), 13-17.</w:t>
              </w:r>
            </w:p>
            <w:p w14:paraId="28855F27" w14:textId="77777777" w:rsidR="0068599F" w:rsidRPr="0068599F" w:rsidRDefault="0068599F" w:rsidP="0068599F">
              <w:pPr>
                <w:pStyle w:val="Bibliografa"/>
                <w:ind w:left="720" w:hanging="720"/>
                <w:rPr>
                  <w:noProof/>
                  <w:lang w:val="en-US"/>
                </w:rPr>
              </w:pPr>
              <w:r w:rsidRPr="0068599F">
                <w:rPr>
                  <w:noProof/>
                  <w:lang w:val="en-US"/>
                </w:rPr>
                <w:t xml:space="preserve">Fabozzi, F. J. (2007). </w:t>
              </w:r>
              <w:r w:rsidRPr="0068599F">
                <w:rPr>
                  <w:i/>
                  <w:iCs/>
                  <w:noProof/>
                  <w:lang w:val="en-US"/>
                </w:rPr>
                <w:t>Fixed income analysis.</w:t>
              </w:r>
              <w:r w:rsidRPr="0068599F">
                <w:rPr>
                  <w:noProof/>
                  <w:lang w:val="en-US"/>
                </w:rPr>
                <w:t xml:space="preserve"> John Wiley &amp; Sons.</w:t>
              </w:r>
            </w:p>
            <w:p w14:paraId="1FA031A3" w14:textId="77777777" w:rsidR="0068599F" w:rsidRDefault="0068599F" w:rsidP="0068599F">
              <w:pPr>
                <w:pStyle w:val="Bibliografa"/>
                <w:ind w:left="720" w:hanging="720"/>
                <w:rPr>
                  <w:noProof/>
                  <w:lang w:val="es-ES"/>
                </w:rPr>
              </w:pPr>
              <w:r w:rsidRPr="0068599F">
                <w:rPr>
                  <w:noProof/>
                  <w:lang w:val="en-US"/>
                </w:rPr>
                <w:t xml:space="preserve">Fabozzi, F. J. (2021). </w:t>
              </w:r>
              <w:r w:rsidRPr="0068599F">
                <w:rPr>
                  <w:i/>
                  <w:iCs/>
                  <w:noProof/>
                  <w:lang w:val="en-US"/>
                </w:rPr>
                <w:t>The handbook of fixed income securities</w:t>
              </w:r>
              <w:r w:rsidRPr="0068599F">
                <w:rPr>
                  <w:noProof/>
                  <w:lang w:val="en-US"/>
                </w:rPr>
                <w:t xml:space="preserve"> (Novena ed.). </w:t>
              </w:r>
              <w:r>
                <w:rPr>
                  <w:noProof/>
                  <w:lang w:val="es-ES"/>
                </w:rPr>
                <w:t>McGraw-Hill Education.</w:t>
              </w:r>
            </w:p>
            <w:p w14:paraId="5F9D0537" w14:textId="77777777" w:rsidR="0068599F" w:rsidRPr="0068599F" w:rsidRDefault="0068599F" w:rsidP="0068599F">
              <w:pPr>
                <w:pStyle w:val="Bibliografa"/>
                <w:ind w:left="720" w:hanging="720"/>
                <w:rPr>
                  <w:noProof/>
                  <w:lang w:val="en-US"/>
                </w:rPr>
              </w:pPr>
              <w:r>
                <w:rPr>
                  <w:noProof/>
                  <w:lang w:val="es-ES"/>
                </w:rPr>
                <w:lastRenderedPageBreak/>
                <w:t xml:space="preserve">Fernández-Rodrı́guez, F., González-Martel, C., &amp; Sosvilla-Rivero, S. (2000). </w:t>
              </w:r>
              <w:r w:rsidRPr="0068599F">
                <w:rPr>
                  <w:noProof/>
                  <w:lang w:val="en-US"/>
                </w:rPr>
                <w:t xml:space="preserve">On the profitability of technical trading rules based on artificial neural networks: Evidence from the Madrid stock market. </w:t>
              </w:r>
              <w:r w:rsidRPr="0068599F">
                <w:rPr>
                  <w:i/>
                  <w:iCs/>
                  <w:noProof/>
                  <w:lang w:val="en-US"/>
                </w:rPr>
                <w:t>Economics Letters, 69</w:t>
              </w:r>
              <w:r w:rsidRPr="0068599F">
                <w:rPr>
                  <w:noProof/>
                  <w:lang w:val="en-US"/>
                </w:rPr>
                <w:t>(1), 89-94. https://doi.org/https://doi.org/10.1016/S0165-1765(00)00270-6</w:t>
              </w:r>
            </w:p>
            <w:p w14:paraId="25DE085E" w14:textId="77777777" w:rsidR="0068599F" w:rsidRPr="0068599F" w:rsidRDefault="0068599F" w:rsidP="0068599F">
              <w:pPr>
                <w:pStyle w:val="Bibliografa"/>
                <w:ind w:left="720" w:hanging="720"/>
                <w:rPr>
                  <w:noProof/>
                  <w:lang w:val="en-US"/>
                </w:rPr>
              </w:pPr>
              <w:r w:rsidRPr="0068599F">
                <w:rPr>
                  <w:noProof/>
                  <w:lang w:val="en-US"/>
                </w:rPr>
                <w:t xml:space="preserve">Galvani, V., &amp; Landon, S. (2013). Riding the yield curve: a spanning analysis. </w:t>
              </w:r>
              <w:r w:rsidRPr="0068599F">
                <w:rPr>
                  <w:i/>
                  <w:iCs/>
                  <w:noProof/>
                  <w:lang w:val="en-US"/>
                </w:rPr>
                <w:t>Review of Quantitative Finance and Accounting, 40</w:t>
              </w:r>
              <w:r w:rsidRPr="0068599F">
                <w:rPr>
                  <w:noProof/>
                  <w:lang w:val="en-US"/>
                </w:rPr>
                <w:t>, 135-154.</w:t>
              </w:r>
            </w:p>
            <w:p w14:paraId="51F3BB84" w14:textId="77777777" w:rsidR="0068599F" w:rsidRPr="0068599F" w:rsidRDefault="0068599F" w:rsidP="0068599F">
              <w:pPr>
                <w:pStyle w:val="Bibliografa"/>
                <w:ind w:left="720" w:hanging="720"/>
                <w:rPr>
                  <w:noProof/>
                  <w:lang w:val="en-US"/>
                </w:rPr>
              </w:pPr>
              <w:r w:rsidRPr="0068599F">
                <w:rPr>
                  <w:noProof/>
                  <w:lang w:val="en-US"/>
                </w:rPr>
                <w:t xml:space="preserve">Gogas, P., Papadimitriou, T., Matthaiou, M., &amp; Chrysanthidou, E. (2015). Yield curve and recession forecasting in a machine learning framework. </w:t>
              </w:r>
              <w:r w:rsidRPr="0068599F">
                <w:rPr>
                  <w:i/>
                  <w:iCs/>
                  <w:noProof/>
                  <w:lang w:val="en-US"/>
                </w:rPr>
                <w:t>Computational Economics, 45</w:t>
              </w:r>
              <w:r w:rsidRPr="0068599F">
                <w:rPr>
                  <w:noProof/>
                  <w:lang w:val="en-US"/>
                </w:rPr>
                <w:t>, 635-645.</w:t>
              </w:r>
            </w:p>
            <w:p w14:paraId="0E6D87BB" w14:textId="77777777" w:rsidR="0068599F" w:rsidRPr="0068599F" w:rsidRDefault="0068599F" w:rsidP="0068599F">
              <w:pPr>
                <w:pStyle w:val="Bibliografa"/>
                <w:ind w:left="720" w:hanging="720"/>
                <w:rPr>
                  <w:noProof/>
                  <w:lang w:val="en-US"/>
                </w:rPr>
              </w:pPr>
              <w:r w:rsidRPr="0068599F">
                <w:rPr>
                  <w:noProof/>
                  <w:lang w:val="en-US"/>
                </w:rPr>
                <w:t xml:space="preserve">Grieves, R., &amp; Marcus, A. J. (1992). Riding the yield curve: reprise. </w:t>
              </w:r>
              <w:r w:rsidRPr="0068599F">
                <w:rPr>
                  <w:i/>
                  <w:iCs/>
                  <w:noProof/>
                  <w:lang w:val="en-US"/>
                </w:rPr>
                <w:t>Journal of Portfolio Management, 18</w:t>
              </w:r>
              <w:r w:rsidRPr="0068599F">
                <w:rPr>
                  <w:noProof/>
                  <w:lang w:val="en-US"/>
                </w:rPr>
                <w:t>(4), 67-76.</w:t>
              </w:r>
            </w:p>
            <w:p w14:paraId="1AFCBD12" w14:textId="77777777" w:rsidR="0068599F" w:rsidRPr="0068599F" w:rsidRDefault="0068599F" w:rsidP="0068599F">
              <w:pPr>
                <w:pStyle w:val="Bibliografa"/>
                <w:ind w:left="720" w:hanging="720"/>
                <w:rPr>
                  <w:noProof/>
                  <w:lang w:val="en-US"/>
                </w:rPr>
              </w:pPr>
              <w:r w:rsidRPr="0068599F">
                <w:rPr>
                  <w:noProof/>
                  <w:lang w:val="en-US"/>
                </w:rPr>
                <w:t xml:space="preserve">Gu, S., Lillicrap, T., Sutskever, I., &amp; Levine, S. (2016). Continuous Deep Q-Learning with Model-based Acceleration. </w:t>
              </w:r>
              <w:r w:rsidRPr="0068599F">
                <w:rPr>
                  <w:i/>
                  <w:iCs/>
                  <w:noProof/>
                  <w:lang w:val="en-US"/>
                </w:rPr>
                <w:t>Proc. Int. Conf. Learning Representations,.</w:t>
              </w:r>
              <w:r w:rsidRPr="0068599F">
                <w:rPr>
                  <w:noProof/>
                  <w:lang w:val="en-US"/>
                </w:rPr>
                <w:t xml:space="preserve"> https://arxiv.org/abs/1603.00748</w:t>
              </w:r>
            </w:p>
            <w:p w14:paraId="6CEE0E7D" w14:textId="77777777" w:rsidR="0068599F" w:rsidRPr="0068599F" w:rsidRDefault="0068599F" w:rsidP="0068599F">
              <w:pPr>
                <w:pStyle w:val="Bibliografa"/>
                <w:ind w:left="720" w:hanging="720"/>
                <w:rPr>
                  <w:noProof/>
                  <w:lang w:val="en-US"/>
                </w:rPr>
              </w:pPr>
              <w:r w:rsidRPr="0068599F">
                <w:rPr>
                  <w:noProof/>
                  <w:lang w:val="en-US"/>
                </w:rPr>
                <w:t xml:space="preserve">Henrique, B. M., Sobreiro, V. A., &amp; Kimura, H. (2019). Literature review: Machine learning techniques applied to financial market prediction. </w:t>
              </w:r>
              <w:r w:rsidRPr="0068599F">
                <w:rPr>
                  <w:i/>
                  <w:iCs/>
                  <w:noProof/>
                  <w:lang w:val="en-US"/>
                </w:rPr>
                <w:t>Expert Systems with Applications, 124</w:t>
              </w:r>
              <w:r w:rsidRPr="0068599F">
                <w:rPr>
                  <w:noProof/>
                  <w:lang w:val="en-US"/>
                </w:rPr>
                <w:t>, 226-251. https://doi.org/https://doi.org/10.1016/j.eswa.2019.01.012</w:t>
              </w:r>
            </w:p>
            <w:p w14:paraId="03AEBF09" w14:textId="77777777" w:rsidR="0068599F" w:rsidRPr="0068599F" w:rsidRDefault="0068599F" w:rsidP="0068599F">
              <w:pPr>
                <w:pStyle w:val="Bibliografa"/>
                <w:ind w:left="720" w:hanging="720"/>
                <w:rPr>
                  <w:noProof/>
                  <w:lang w:val="en-US"/>
                </w:rPr>
              </w:pPr>
              <w:r w:rsidRPr="0068599F">
                <w:rPr>
                  <w:noProof/>
                  <w:lang w:val="en-US"/>
                </w:rPr>
                <w:t xml:space="preserve">Hull, J. C. (2022). </w:t>
              </w:r>
              <w:r w:rsidRPr="0068599F">
                <w:rPr>
                  <w:i/>
                  <w:iCs/>
                  <w:noProof/>
                  <w:lang w:val="en-US"/>
                </w:rPr>
                <w:t>Options, Futures, and Other Derivatives</w:t>
              </w:r>
              <w:r w:rsidRPr="0068599F">
                <w:rPr>
                  <w:noProof/>
                  <w:lang w:val="en-US"/>
                </w:rPr>
                <w:t xml:space="preserve"> (Undécima ed.). Pearson.</w:t>
              </w:r>
            </w:p>
            <w:p w14:paraId="61E365DA" w14:textId="77777777" w:rsidR="0068599F" w:rsidRPr="0068599F" w:rsidRDefault="0068599F" w:rsidP="0068599F">
              <w:pPr>
                <w:pStyle w:val="Bibliografa"/>
                <w:ind w:left="720" w:hanging="720"/>
                <w:rPr>
                  <w:noProof/>
                  <w:lang w:val="en-US"/>
                </w:rPr>
              </w:pPr>
              <w:r w:rsidRPr="0068599F">
                <w:rPr>
                  <w:noProof/>
                  <w:lang w:val="en-US"/>
                </w:rPr>
                <w:t xml:space="preserve">Kakade, S. M. (2001). A Natural Policy Gradient. </w:t>
              </w:r>
              <w:r w:rsidRPr="0068599F">
                <w:rPr>
                  <w:i/>
                  <w:iCs/>
                  <w:noProof/>
                  <w:lang w:val="en-US"/>
                </w:rPr>
                <w:t>Advances in Neural Information Processing Systems</w:t>
              </w:r>
              <w:r w:rsidRPr="0068599F">
                <w:rPr>
                  <w:noProof/>
                  <w:lang w:val="en-US"/>
                </w:rPr>
                <w:t xml:space="preserve"> (págs. 1531-1538). Cambridge: MIT Press.</w:t>
              </w:r>
            </w:p>
            <w:p w14:paraId="6BC75521" w14:textId="77777777" w:rsidR="0068599F" w:rsidRPr="0068599F" w:rsidRDefault="0068599F" w:rsidP="0068599F">
              <w:pPr>
                <w:pStyle w:val="Bibliografa"/>
                <w:ind w:left="720" w:hanging="720"/>
                <w:rPr>
                  <w:noProof/>
                  <w:lang w:val="en-US"/>
                </w:rPr>
              </w:pPr>
              <w:r w:rsidRPr="0068599F">
                <w:rPr>
                  <w:noProof/>
                  <w:lang w:val="en-US"/>
                </w:rPr>
                <w:t xml:space="preserve">Konda, V. R., &amp; Tsitsiklis, J. N. (2003). OnActor-Critic Algorithms. </w:t>
              </w:r>
              <w:r w:rsidRPr="0068599F">
                <w:rPr>
                  <w:i/>
                  <w:iCs/>
                  <w:noProof/>
                  <w:lang w:val="en-US"/>
                </w:rPr>
                <w:t>SIAM Journal on Control and Optimization, 42</w:t>
              </w:r>
              <w:r w:rsidRPr="0068599F">
                <w:rPr>
                  <w:noProof/>
                  <w:lang w:val="en-US"/>
                </w:rPr>
                <w:t>(4), 1143-1166. https://doi.org/10.1137/S0363012901385691</w:t>
              </w:r>
            </w:p>
            <w:p w14:paraId="5919B345" w14:textId="77777777" w:rsidR="0068599F" w:rsidRPr="0068599F" w:rsidRDefault="0068599F" w:rsidP="0068599F">
              <w:pPr>
                <w:pStyle w:val="Bibliografa"/>
                <w:ind w:left="720" w:hanging="720"/>
                <w:rPr>
                  <w:noProof/>
                  <w:lang w:val="en-US"/>
                </w:rPr>
              </w:pPr>
              <w:r w:rsidRPr="0068599F">
                <w:rPr>
                  <w:noProof/>
                  <w:lang w:val="en-US"/>
                </w:rPr>
                <w:t xml:space="preserve">Konda, V., &amp; Tsitsiklis, J. (1999). Actor-Critic Algorithms. </w:t>
              </w:r>
              <w:r w:rsidRPr="0068599F">
                <w:rPr>
                  <w:i/>
                  <w:iCs/>
                  <w:noProof/>
                  <w:lang w:val="en-US"/>
                </w:rPr>
                <w:t>Advances in Neural Information Processing Systems.</w:t>
              </w:r>
              <w:r w:rsidRPr="0068599F">
                <w:rPr>
                  <w:noProof/>
                  <w:lang w:val="en-US"/>
                </w:rPr>
                <w:t xml:space="preserve"> Boston: MIT Press. https://proceedings.neurips.cc/paper_files/paper/1999/file/6449f44a102fde848669bdd9eb6b76fa-Paper.pdf</w:t>
              </w:r>
            </w:p>
            <w:p w14:paraId="49FF47A4" w14:textId="77777777" w:rsidR="0068599F" w:rsidRPr="0068599F" w:rsidRDefault="0068599F" w:rsidP="0068599F">
              <w:pPr>
                <w:pStyle w:val="Bibliografa"/>
                <w:ind w:left="720" w:hanging="720"/>
                <w:rPr>
                  <w:noProof/>
                  <w:lang w:val="en-US"/>
                </w:rPr>
              </w:pPr>
              <w:r w:rsidRPr="0068599F">
                <w:rPr>
                  <w:noProof/>
                  <w:lang w:val="en-US"/>
                </w:rPr>
                <w:t xml:space="preserve">Koutník, J., Cuccu, G., Schmidhuber, J., &amp; Gomez, F. J. (2013). Evolving large-scale neural networks for vision-based reinforcement learning. </w:t>
              </w:r>
              <w:r w:rsidRPr="0068599F">
                <w:rPr>
                  <w:i/>
                  <w:iCs/>
                  <w:noProof/>
                  <w:lang w:val="en-US"/>
                </w:rPr>
                <w:t>Annual Conference on Genetic and Evolutionary Computation.</w:t>
              </w:r>
              <w:r w:rsidRPr="0068599F">
                <w:rPr>
                  <w:noProof/>
                  <w:lang w:val="en-US"/>
                </w:rPr>
                <w:t xml:space="preserve"> Manno. https://doi.org/10.1145/2463372.2463509</w:t>
              </w:r>
            </w:p>
            <w:p w14:paraId="616C35CB" w14:textId="77777777" w:rsidR="0068599F" w:rsidRPr="0068599F" w:rsidRDefault="0068599F" w:rsidP="0068599F">
              <w:pPr>
                <w:pStyle w:val="Bibliografa"/>
                <w:ind w:left="720" w:hanging="720"/>
                <w:rPr>
                  <w:noProof/>
                  <w:lang w:val="en-US"/>
                </w:rPr>
              </w:pPr>
              <w:r>
                <w:rPr>
                  <w:noProof/>
                  <w:lang w:val="es-ES"/>
                </w:rPr>
                <w:t xml:space="preserve">LeCun, Y., Bengio, Y., &amp; Hinton, G. (2015). </w:t>
              </w:r>
              <w:r w:rsidRPr="0068599F">
                <w:rPr>
                  <w:noProof/>
                  <w:lang w:val="en-US"/>
                </w:rPr>
                <w:t xml:space="preserve">Deep learning. </w:t>
              </w:r>
              <w:r w:rsidRPr="0068599F">
                <w:rPr>
                  <w:i/>
                  <w:iCs/>
                  <w:noProof/>
                  <w:lang w:val="en-US"/>
                </w:rPr>
                <w:t>Nature, 521</w:t>
              </w:r>
              <w:r w:rsidRPr="0068599F">
                <w:rPr>
                  <w:noProof/>
                  <w:lang w:val="en-US"/>
                </w:rPr>
                <w:t>, 436-444. https://doi.org/10.1038/nature14539</w:t>
              </w:r>
            </w:p>
            <w:p w14:paraId="0F589713" w14:textId="77777777" w:rsidR="0068599F" w:rsidRPr="0068599F" w:rsidRDefault="0068599F" w:rsidP="0068599F">
              <w:pPr>
                <w:pStyle w:val="Bibliografa"/>
                <w:ind w:left="720" w:hanging="720"/>
                <w:rPr>
                  <w:noProof/>
                  <w:lang w:val="en-US"/>
                </w:rPr>
              </w:pPr>
              <w:r w:rsidRPr="0068599F">
                <w:rPr>
                  <w:noProof/>
                  <w:lang w:val="en-US"/>
                </w:rPr>
                <w:t xml:space="preserve">Li, S., Wu, Y., Cui, X., Dong, H., Fang, F., &amp; Russell, S. (2019). Robust Multi-Agent Reinforcement Learning via Minimax Deep Deterministic Policy Gradient. </w:t>
              </w:r>
              <w:r w:rsidRPr="0068599F">
                <w:rPr>
                  <w:i/>
                  <w:iCs/>
                  <w:noProof/>
                  <w:lang w:val="en-US"/>
                </w:rPr>
                <w:t>Proceedings of the AAAI Conference on Artificial Intelligence, 33</w:t>
              </w:r>
              <w:r w:rsidRPr="0068599F">
                <w:rPr>
                  <w:noProof/>
                  <w:lang w:val="en-US"/>
                </w:rPr>
                <w:t>(01), 4213-4220. https://ojs.aaai.org/index.php/AAAI/article/view/4327</w:t>
              </w:r>
            </w:p>
            <w:p w14:paraId="54A85DB6" w14:textId="77777777" w:rsidR="0068599F" w:rsidRPr="0068599F" w:rsidRDefault="0068599F" w:rsidP="0068599F">
              <w:pPr>
                <w:pStyle w:val="Bibliografa"/>
                <w:ind w:left="720" w:hanging="720"/>
                <w:rPr>
                  <w:noProof/>
                  <w:lang w:val="en-US"/>
                </w:rPr>
              </w:pPr>
              <w:r>
                <w:rPr>
                  <w:noProof/>
                  <w:lang w:val="es-ES"/>
                </w:rPr>
                <w:t xml:space="preserve">López de Prado, M. M. (2020). </w:t>
              </w:r>
              <w:r w:rsidRPr="0068599F">
                <w:rPr>
                  <w:i/>
                  <w:iCs/>
                  <w:noProof/>
                  <w:lang w:val="en-US"/>
                </w:rPr>
                <w:t>Machine Learning for Asset Managers.</w:t>
              </w:r>
              <w:r w:rsidRPr="0068599F">
                <w:rPr>
                  <w:noProof/>
                  <w:lang w:val="en-US"/>
                </w:rPr>
                <w:t xml:space="preserve"> Cambridge University Press. https://doi.org/10.1017/9781108883658</w:t>
              </w:r>
            </w:p>
            <w:p w14:paraId="5A1FF698" w14:textId="77777777" w:rsidR="0068599F" w:rsidRPr="0068599F" w:rsidRDefault="0068599F" w:rsidP="0068599F">
              <w:pPr>
                <w:pStyle w:val="Bibliografa"/>
                <w:ind w:left="720" w:hanging="720"/>
                <w:rPr>
                  <w:noProof/>
                  <w:lang w:val="en-US"/>
                </w:rPr>
              </w:pPr>
              <w:r w:rsidRPr="0068599F">
                <w:rPr>
                  <w:noProof/>
                  <w:lang w:val="en-US"/>
                </w:rPr>
                <w:lastRenderedPageBreak/>
                <w:t xml:space="preserve">Merton, R. C. (1973). Theory of Rational Option Pricing. </w:t>
              </w:r>
              <w:r w:rsidRPr="0068599F">
                <w:rPr>
                  <w:i/>
                  <w:iCs/>
                  <w:noProof/>
                  <w:lang w:val="en-US"/>
                </w:rPr>
                <w:t>The Bell Journal of Economics and Management Science, 4</w:t>
              </w:r>
              <w:r w:rsidRPr="0068599F">
                <w:rPr>
                  <w:noProof/>
                  <w:lang w:val="en-US"/>
                </w:rPr>
                <w:t>(1), 141-183.</w:t>
              </w:r>
            </w:p>
            <w:p w14:paraId="1743F924" w14:textId="77777777" w:rsidR="0068599F" w:rsidRPr="0068599F" w:rsidRDefault="0068599F" w:rsidP="0068599F">
              <w:pPr>
                <w:pStyle w:val="Bibliografa"/>
                <w:ind w:left="720" w:hanging="720"/>
                <w:rPr>
                  <w:noProof/>
                  <w:lang w:val="en-US"/>
                </w:rPr>
              </w:pPr>
              <w:r w:rsidRPr="0068599F">
                <w:rPr>
                  <w:noProof/>
                  <w:lang w:val="en-US"/>
                </w:rPr>
                <w:t xml:space="preserve">Moody, J., &amp; Saffell, M. (1998). Reinforcement Learning for Trading. En M. Kearns, S. Solla, &amp; D. Cohn (Ed.), </w:t>
              </w:r>
              <w:r w:rsidRPr="0068599F">
                <w:rPr>
                  <w:i/>
                  <w:iCs/>
                  <w:noProof/>
                  <w:lang w:val="en-US"/>
                </w:rPr>
                <w:t>Advances in Neural Information Processing Systems.</w:t>
              </w:r>
              <w:r w:rsidRPr="0068599F">
                <w:rPr>
                  <w:noProof/>
                  <w:lang w:val="en-US"/>
                </w:rPr>
                <w:t xml:space="preserve"> </w:t>
              </w:r>
              <w:r w:rsidRPr="0068599F">
                <w:rPr>
                  <w:i/>
                  <w:iCs/>
                  <w:noProof/>
                  <w:lang w:val="en-US"/>
                </w:rPr>
                <w:t>11.</w:t>
              </w:r>
              <w:r w:rsidRPr="0068599F">
                <w:rPr>
                  <w:noProof/>
                  <w:lang w:val="en-US"/>
                </w:rPr>
                <w:t xml:space="preserve"> Boston: MIT Press. https://proceedings.neurips.cc/paper_files/paper/1998/file/4e6cd95227cb0c280e99a195be5f6615-Paper.pdf</w:t>
              </w:r>
            </w:p>
            <w:p w14:paraId="25B99E57" w14:textId="77777777" w:rsidR="0068599F" w:rsidRPr="0068599F" w:rsidRDefault="0068599F" w:rsidP="0068599F">
              <w:pPr>
                <w:pStyle w:val="Bibliografa"/>
                <w:ind w:left="720" w:hanging="720"/>
                <w:rPr>
                  <w:noProof/>
                  <w:lang w:val="en-US"/>
                </w:rPr>
              </w:pPr>
              <w:r w:rsidRPr="0068599F">
                <w:rPr>
                  <w:noProof/>
                  <w:lang w:val="en-US"/>
                </w:rPr>
                <w:t xml:space="preserve">Nunes, M. (2022). </w:t>
              </w:r>
              <w:r w:rsidRPr="0068599F">
                <w:rPr>
                  <w:i/>
                  <w:iCs/>
                  <w:noProof/>
                  <w:lang w:val="en-US"/>
                </w:rPr>
                <w:t>Machine learning in fixed income markets: forecasting and portfolio management.</w:t>
              </w:r>
              <w:r w:rsidRPr="0068599F">
                <w:rPr>
                  <w:noProof/>
                  <w:lang w:val="en-US"/>
                </w:rPr>
                <w:t xml:space="preserve"> University of Southampton.</w:t>
              </w:r>
            </w:p>
            <w:p w14:paraId="5CFC354A" w14:textId="77777777" w:rsidR="0068599F" w:rsidRPr="0068599F" w:rsidRDefault="0068599F" w:rsidP="0068599F">
              <w:pPr>
                <w:pStyle w:val="Bibliografa"/>
                <w:ind w:left="720" w:hanging="720"/>
                <w:rPr>
                  <w:noProof/>
                  <w:lang w:val="en-US"/>
                </w:rPr>
              </w:pPr>
              <w:r w:rsidRPr="0068599F">
                <w:rPr>
                  <w:noProof/>
                  <w:lang w:val="en-US"/>
                </w:rPr>
                <w:t xml:space="preserve">Pelaez, R. F. (1997). Riding the yield curve: Term premiums and excess returns. </w:t>
              </w:r>
              <w:r w:rsidRPr="0068599F">
                <w:rPr>
                  <w:i/>
                  <w:iCs/>
                  <w:noProof/>
                  <w:lang w:val="en-US"/>
                </w:rPr>
                <w:t>Review of Financial Economics, 6</w:t>
              </w:r>
              <w:r w:rsidRPr="0068599F">
                <w:rPr>
                  <w:noProof/>
                  <w:lang w:val="en-US"/>
                </w:rPr>
                <w:t>(1), 113-119. https://doi.org/https://doi.org/10.1016/S1058-3300(97)90017-3</w:t>
              </w:r>
            </w:p>
            <w:p w14:paraId="52952EE0" w14:textId="77777777" w:rsidR="0068599F" w:rsidRPr="0068599F" w:rsidRDefault="0068599F" w:rsidP="0068599F">
              <w:pPr>
                <w:pStyle w:val="Bibliografa"/>
                <w:ind w:left="720" w:hanging="720"/>
                <w:rPr>
                  <w:noProof/>
                  <w:lang w:val="en-US"/>
                </w:rPr>
              </w:pPr>
              <w:r w:rsidRPr="0068599F">
                <w:rPr>
                  <w:noProof/>
                  <w:lang w:val="en-US"/>
                </w:rPr>
                <w:t xml:space="preserve">Refenes, N. A.-P., Burgess, N. A., &amp; Bentz, Y. (1997). Neural networks in financial engineering: a study in methodology. </w:t>
              </w:r>
              <w:r w:rsidRPr="0068599F">
                <w:rPr>
                  <w:i/>
                  <w:iCs/>
                  <w:noProof/>
                  <w:lang w:val="en-US"/>
                </w:rPr>
                <w:t>IEEE transactions on neural networks, 8</w:t>
              </w:r>
              <w:r w:rsidRPr="0068599F">
                <w:rPr>
                  <w:noProof/>
                  <w:lang w:val="en-US"/>
                </w:rPr>
                <w:t>, 1222-1267. https://doi.org/10.1109/72.641449</w:t>
              </w:r>
            </w:p>
            <w:p w14:paraId="40341CCB" w14:textId="77777777" w:rsidR="0068599F" w:rsidRPr="0068599F" w:rsidRDefault="0068599F" w:rsidP="0068599F">
              <w:pPr>
                <w:pStyle w:val="Bibliografa"/>
                <w:ind w:left="720" w:hanging="720"/>
                <w:rPr>
                  <w:noProof/>
                  <w:lang w:val="en-US"/>
                </w:rPr>
              </w:pPr>
              <w:r w:rsidRPr="0068599F">
                <w:rPr>
                  <w:noProof/>
                  <w:lang w:val="en-US"/>
                </w:rPr>
                <w:t xml:space="preserve">Schulman, J., Levine, S., Moritz, P., Jordan, M., &amp; Abbeel, P. (2015). Trust Region Policy Optimization. </w:t>
              </w:r>
              <w:r w:rsidRPr="0068599F">
                <w:rPr>
                  <w:i/>
                  <w:iCs/>
                  <w:noProof/>
                  <w:lang w:val="en-US"/>
                </w:rPr>
                <w:t>International conference on machine learning</w:t>
              </w:r>
              <w:r w:rsidRPr="0068599F">
                <w:rPr>
                  <w:noProof/>
                  <w:lang w:val="en-US"/>
                </w:rPr>
                <w:t>, 1889-1897. https://doi.org/https://doi.org/10.48550/arXiv.1502.05477</w:t>
              </w:r>
            </w:p>
            <w:p w14:paraId="2A417449" w14:textId="77777777" w:rsidR="0068599F" w:rsidRPr="0068599F" w:rsidRDefault="0068599F" w:rsidP="0068599F">
              <w:pPr>
                <w:pStyle w:val="Bibliografa"/>
                <w:ind w:left="720" w:hanging="720"/>
                <w:rPr>
                  <w:noProof/>
                  <w:lang w:val="en-US"/>
                </w:rPr>
              </w:pPr>
              <w:r w:rsidRPr="0068599F">
                <w:rPr>
                  <w:noProof/>
                  <w:lang w:val="en-US"/>
                </w:rPr>
                <w:t xml:space="preserve">Schulman, J., Wolski, F., Dhariwal, P., Radford, A., &amp; Klimov, O. (2017). Proximal Policy Optimization Algorithms. </w:t>
              </w:r>
              <w:r w:rsidRPr="0068599F">
                <w:rPr>
                  <w:i/>
                  <w:iCs/>
                  <w:noProof/>
                  <w:lang w:val="en-US"/>
                </w:rPr>
                <w:t>OpenAI</w:t>
              </w:r>
              <w:r w:rsidRPr="0068599F">
                <w:rPr>
                  <w:noProof/>
                  <w:lang w:val="en-US"/>
                </w:rPr>
                <w:t>. https://doi.org/arXiv:1707.06347</w:t>
              </w:r>
            </w:p>
            <w:p w14:paraId="2C16D483" w14:textId="77777777" w:rsidR="0068599F" w:rsidRPr="0068599F" w:rsidRDefault="0068599F" w:rsidP="0068599F">
              <w:pPr>
                <w:pStyle w:val="Bibliografa"/>
                <w:ind w:left="720" w:hanging="720"/>
                <w:rPr>
                  <w:noProof/>
                  <w:lang w:val="en-US"/>
                </w:rPr>
              </w:pPr>
              <w:r w:rsidRPr="0068599F">
                <w:rPr>
                  <w:noProof/>
                  <w:lang w:val="en-US"/>
                </w:rPr>
                <w:t xml:space="preserve">Silver, D., Lever, G., Heess, N., Degris, T., Wierstra, D., &amp; Riedmiller, M. (2014). Deterministic Policy Gradient Algorithms. </w:t>
              </w:r>
              <w:r w:rsidRPr="0068599F">
                <w:rPr>
                  <w:i/>
                  <w:iCs/>
                  <w:noProof/>
                  <w:lang w:val="en-US"/>
                </w:rPr>
                <w:t>Proceedings of Machine Learning Research.</w:t>
              </w:r>
              <w:r w:rsidRPr="0068599F">
                <w:rPr>
                  <w:noProof/>
                  <w:lang w:val="en-US"/>
                </w:rPr>
                <w:t xml:space="preserve"> Beijing: PMLR. https://proceedings.mlr.press/v32/silver14.html</w:t>
              </w:r>
            </w:p>
            <w:p w14:paraId="02E35DB7" w14:textId="77777777" w:rsidR="0068599F" w:rsidRPr="0068599F" w:rsidRDefault="0068599F" w:rsidP="0068599F">
              <w:pPr>
                <w:pStyle w:val="Bibliografa"/>
                <w:ind w:left="720" w:hanging="720"/>
                <w:rPr>
                  <w:noProof/>
                  <w:lang w:val="en-US"/>
                </w:rPr>
              </w:pPr>
              <w:r w:rsidRPr="0068599F">
                <w:rPr>
                  <w:noProof/>
                  <w:lang w:val="en-US"/>
                </w:rPr>
                <w:t xml:space="preserve">Stone, P., &amp; Kohl, N. (2004). Policy gradient reinforcement learning for fast quadrupedal locomotion. </w:t>
              </w:r>
              <w:r w:rsidRPr="0068599F">
                <w:rPr>
                  <w:i/>
                  <w:iCs/>
                  <w:noProof/>
                  <w:lang w:val="en-US"/>
                </w:rPr>
                <w:t>IEEE International Conference on Robotics and Automation, 3</w:t>
              </w:r>
              <w:r w:rsidRPr="0068599F">
                <w:rPr>
                  <w:noProof/>
                  <w:lang w:val="en-US"/>
                </w:rPr>
                <w:t>, 2619-2624. https://doi.org/10.1109/ROBOT.2004.1307456</w:t>
              </w:r>
            </w:p>
            <w:p w14:paraId="678EEAD4" w14:textId="77777777" w:rsidR="0068599F" w:rsidRPr="0068599F" w:rsidRDefault="0068599F" w:rsidP="0068599F">
              <w:pPr>
                <w:pStyle w:val="Bibliografa"/>
                <w:ind w:left="720" w:hanging="720"/>
                <w:rPr>
                  <w:noProof/>
                  <w:lang w:val="en-US"/>
                </w:rPr>
              </w:pPr>
              <w:r w:rsidRPr="0068599F">
                <w:rPr>
                  <w:noProof/>
                  <w:lang w:val="en-US"/>
                </w:rPr>
                <w:t xml:space="preserve">Sutton, R. S. (1984). </w:t>
              </w:r>
              <w:r w:rsidRPr="0068599F">
                <w:rPr>
                  <w:i/>
                  <w:iCs/>
                  <w:noProof/>
                  <w:lang w:val="en-US"/>
                </w:rPr>
                <w:t>Temporal credit assignment in reinforcement learning.</w:t>
              </w:r>
              <w:r w:rsidRPr="0068599F">
                <w:rPr>
                  <w:noProof/>
                  <w:lang w:val="en-US"/>
                </w:rPr>
                <w:t xml:space="preserve"> University of Massachusetts Amherst.</w:t>
              </w:r>
            </w:p>
            <w:p w14:paraId="70D3AD71" w14:textId="77777777" w:rsidR="0068599F" w:rsidRPr="0068599F" w:rsidRDefault="0068599F" w:rsidP="0068599F">
              <w:pPr>
                <w:pStyle w:val="Bibliografa"/>
                <w:ind w:left="720" w:hanging="720"/>
                <w:rPr>
                  <w:noProof/>
                  <w:lang w:val="en-US"/>
                </w:rPr>
              </w:pPr>
              <w:r w:rsidRPr="0068599F">
                <w:rPr>
                  <w:noProof/>
                  <w:lang w:val="en-US"/>
                </w:rPr>
                <w:t xml:space="preserve">Sutton, R. S., &amp; Barto, A. G. (2018). </w:t>
              </w:r>
              <w:r w:rsidRPr="0068599F">
                <w:rPr>
                  <w:i/>
                  <w:iCs/>
                  <w:noProof/>
                  <w:lang w:val="en-US"/>
                </w:rPr>
                <w:t>Reinforcement Learning: An Introduction</w:t>
              </w:r>
              <w:r w:rsidRPr="0068599F">
                <w:rPr>
                  <w:noProof/>
                  <w:lang w:val="en-US"/>
                </w:rPr>
                <w:t xml:space="preserve"> (Segunda ed.). MIT Press.</w:t>
              </w:r>
            </w:p>
            <w:p w14:paraId="03B1C483" w14:textId="77777777" w:rsidR="0068599F" w:rsidRPr="0068599F" w:rsidRDefault="0068599F" w:rsidP="0068599F">
              <w:pPr>
                <w:pStyle w:val="Bibliografa"/>
                <w:ind w:left="720" w:hanging="720"/>
                <w:rPr>
                  <w:noProof/>
                  <w:lang w:val="en-US"/>
                </w:rPr>
              </w:pPr>
              <w:r w:rsidRPr="0068599F">
                <w:rPr>
                  <w:noProof/>
                  <w:lang w:val="en-US"/>
                </w:rPr>
                <w:t xml:space="preserve">Sutton, R. S., Precup, D., &amp; Singh, S. (1999). Between MDPs and semi-MDPs: A framework for temporal abstraction in reinforcement learning. </w:t>
              </w:r>
              <w:r w:rsidRPr="0068599F">
                <w:rPr>
                  <w:i/>
                  <w:iCs/>
                  <w:noProof/>
                  <w:lang w:val="en-US"/>
                </w:rPr>
                <w:t>Artificial Intelligence, 112</w:t>
              </w:r>
              <w:r w:rsidRPr="0068599F">
                <w:rPr>
                  <w:noProof/>
                  <w:lang w:val="en-US"/>
                </w:rPr>
                <w:t>(1), 181-211. https://doi.org/https://doi.org/10.1016/S0004-3702(99)00052-1</w:t>
              </w:r>
            </w:p>
            <w:p w14:paraId="55CC7DD3" w14:textId="77777777" w:rsidR="0068599F" w:rsidRPr="0068599F" w:rsidRDefault="0068599F" w:rsidP="0068599F">
              <w:pPr>
                <w:pStyle w:val="Bibliografa"/>
                <w:ind w:left="720" w:hanging="720"/>
                <w:rPr>
                  <w:noProof/>
                  <w:lang w:val="en-US"/>
                </w:rPr>
              </w:pPr>
              <w:r w:rsidRPr="0068599F">
                <w:rPr>
                  <w:noProof/>
                  <w:lang w:val="en-US"/>
                </w:rPr>
                <w:t xml:space="preserve">Tao, C., &amp; Wencong, S. (2018). Local Energy Trading Behavior Modeling With Deep Reinforcement Learning. </w:t>
              </w:r>
              <w:r w:rsidRPr="0068599F">
                <w:rPr>
                  <w:i/>
                  <w:iCs/>
                  <w:noProof/>
                  <w:lang w:val="en-US"/>
                </w:rPr>
                <w:t>IEEE Access, 6</w:t>
              </w:r>
              <w:r w:rsidRPr="0068599F">
                <w:rPr>
                  <w:noProof/>
                  <w:lang w:val="en-US"/>
                </w:rPr>
                <w:t>, 62806-62814. https://doi.org/10.1109/ACCESS.2018.2876652</w:t>
              </w:r>
            </w:p>
            <w:p w14:paraId="2103F640" w14:textId="77777777" w:rsidR="0068599F" w:rsidRPr="0068599F" w:rsidRDefault="0068599F" w:rsidP="0068599F">
              <w:pPr>
                <w:pStyle w:val="Bibliografa"/>
                <w:ind w:left="720" w:hanging="720"/>
                <w:rPr>
                  <w:noProof/>
                  <w:lang w:val="en-US"/>
                </w:rPr>
              </w:pPr>
              <w:r w:rsidRPr="0068599F">
                <w:rPr>
                  <w:noProof/>
                  <w:lang w:val="en-US"/>
                </w:rPr>
                <w:t xml:space="preserve">van Hasselt, H., Guez, A., &amp; Silver, D. (2015). Deep Reinforcement Learning with Double Q-Learning. </w:t>
              </w:r>
              <w:r w:rsidRPr="0068599F">
                <w:rPr>
                  <w:i/>
                  <w:iCs/>
                  <w:noProof/>
                  <w:lang w:val="en-US"/>
                </w:rPr>
                <w:t>Proceedings of the AAAI Conference on Artificial Intelligence</w:t>
              </w:r>
              <w:r w:rsidRPr="0068599F">
                <w:rPr>
                  <w:noProof/>
                  <w:lang w:val="en-US"/>
                </w:rPr>
                <w:t xml:space="preserve">, </w:t>
              </w:r>
              <w:r w:rsidRPr="0068599F">
                <w:rPr>
                  <w:i/>
                  <w:iCs/>
                  <w:noProof/>
                  <w:lang w:val="en-US"/>
                </w:rPr>
                <w:t>30.</w:t>
              </w:r>
              <w:r w:rsidRPr="0068599F">
                <w:rPr>
                  <w:noProof/>
                  <w:lang w:val="en-US"/>
                </w:rPr>
                <w:t xml:space="preserve"> https://doi.org/10.1609/aaai.v30i1.10295</w:t>
              </w:r>
            </w:p>
            <w:p w14:paraId="300AACA0" w14:textId="77777777" w:rsidR="0068599F" w:rsidRPr="0068599F" w:rsidRDefault="0068599F" w:rsidP="0068599F">
              <w:pPr>
                <w:pStyle w:val="Bibliografa"/>
                <w:ind w:left="720" w:hanging="720"/>
                <w:rPr>
                  <w:noProof/>
                  <w:lang w:val="en-US"/>
                </w:rPr>
              </w:pPr>
              <w:r w:rsidRPr="0068599F">
                <w:rPr>
                  <w:noProof/>
                  <w:lang w:val="en-US"/>
                </w:rPr>
                <w:lastRenderedPageBreak/>
                <w:t xml:space="preserve">Wang, X., Wang, S., Liang, X., Zhao, D., Huang, J., Xu, X., . . . Miao, Q. (2022). Deep reinforcement learning: A survey. </w:t>
              </w:r>
              <w:r w:rsidRPr="0068599F">
                <w:rPr>
                  <w:i/>
                  <w:iCs/>
                  <w:noProof/>
                  <w:lang w:val="en-US"/>
                </w:rPr>
                <w:t>IEEE Transactions on Neural Networks and Learning Systems</w:t>
              </w:r>
              <w:r w:rsidRPr="0068599F">
                <w:rPr>
                  <w:noProof/>
                  <w:lang w:val="en-US"/>
                </w:rPr>
                <w:t>, 1-15. https://doi.org/10.1109/TNNLS.2022.3207346</w:t>
              </w:r>
            </w:p>
            <w:p w14:paraId="248D3285" w14:textId="77777777" w:rsidR="0068599F" w:rsidRPr="0068599F" w:rsidRDefault="0068599F" w:rsidP="0068599F">
              <w:pPr>
                <w:pStyle w:val="Bibliografa"/>
                <w:ind w:left="720" w:hanging="720"/>
                <w:rPr>
                  <w:noProof/>
                  <w:lang w:val="en-US"/>
                </w:rPr>
              </w:pPr>
              <w:r w:rsidRPr="0068599F">
                <w:rPr>
                  <w:noProof/>
                  <w:lang w:val="en-US"/>
                </w:rPr>
                <w:t xml:space="preserve">Watkins, C. J. (1989). </w:t>
              </w:r>
              <w:r w:rsidRPr="0068599F">
                <w:rPr>
                  <w:i/>
                  <w:iCs/>
                  <w:noProof/>
                  <w:lang w:val="en-US"/>
                </w:rPr>
                <w:t>Learning from delayed rewards.</w:t>
              </w:r>
              <w:r w:rsidRPr="0068599F">
                <w:rPr>
                  <w:noProof/>
                  <w:lang w:val="en-US"/>
                </w:rPr>
                <w:t xml:space="preserve"> Learning from delayed rewards.</w:t>
              </w:r>
            </w:p>
            <w:p w14:paraId="57D7DB3A" w14:textId="77777777" w:rsidR="0068599F" w:rsidRPr="0068599F" w:rsidRDefault="0068599F" w:rsidP="0068599F">
              <w:pPr>
                <w:pStyle w:val="Bibliografa"/>
                <w:ind w:left="720" w:hanging="720"/>
                <w:rPr>
                  <w:noProof/>
                  <w:lang w:val="en-US"/>
                </w:rPr>
              </w:pPr>
              <w:r w:rsidRPr="0068599F">
                <w:rPr>
                  <w:noProof/>
                  <w:lang w:val="en-US"/>
                </w:rPr>
                <w:t xml:space="preserve">Watkins, C. J., &amp; Dayan, P. (1992). Q-Learning. </w:t>
              </w:r>
              <w:r w:rsidRPr="0068599F">
                <w:rPr>
                  <w:i/>
                  <w:iCs/>
                  <w:noProof/>
                  <w:lang w:val="en-US"/>
                </w:rPr>
                <w:t>Machine Learning, 8</w:t>
              </w:r>
              <w:r w:rsidRPr="0068599F">
                <w:rPr>
                  <w:noProof/>
                  <w:lang w:val="en-US"/>
                </w:rPr>
                <w:t>(3), 279-292. https://doi.org/10.1007/BF00992698</w:t>
              </w:r>
            </w:p>
            <w:p w14:paraId="0F0221C8" w14:textId="77777777" w:rsidR="0068599F" w:rsidRPr="0068599F" w:rsidRDefault="0068599F" w:rsidP="0068599F">
              <w:pPr>
                <w:pStyle w:val="Bibliografa"/>
                <w:ind w:left="720" w:hanging="720"/>
                <w:rPr>
                  <w:noProof/>
                  <w:lang w:val="en-US"/>
                </w:rPr>
              </w:pPr>
              <w:r w:rsidRPr="0068599F">
                <w:rPr>
                  <w:noProof/>
                  <w:lang w:val="en-US"/>
                </w:rPr>
                <w:t xml:space="preserve">Wu, X., Chen, H., Wang, J., Troiano, L., Loia, V., &amp; Fujita, H. (2020). Adaptive stock trading strategies with deep reinforcement learning methods. </w:t>
              </w:r>
              <w:r w:rsidRPr="0068599F">
                <w:rPr>
                  <w:i/>
                  <w:iCs/>
                  <w:noProof/>
                  <w:lang w:val="en-US"/>
                </w:rPr>
                <w:t>Information Sciences, 538</w:t>
              </w:r>
              <w:r w:rsidRPr="0068599F">
                <w:rPr>
                  <w:noProof/>
                  <w:lang w:val="en-US"/>
                </w:rPr>
                <w:t>, 142-158.</w:t>
              </w:r>
            </w:p>
            <w:p w14:paraId="5FD6A3BC" w14:textId="77777777" w:rsidR="0068599F" w:rsidRPr="0068599F" w:rsidRDefault="0068599F" w:rsidP="0068599F">
              <w:pPr>
                <w:pStyle w:val="Bibliografa"/>
                <w:ind w:left="720" w:hanging="720"/>
                <w:rPr>
                  <w:noProof/>
                  <w:lang w:val="en-US"/>
                </w:rPr>
              </w:pPr>
              <w:r w:rsidRPr="0068599F">
                <w:rPr>
                  <w:noProof/>
                  <w:lang w:val="en-US"/>
                </w:rPr>
                <w:t xml:space="preserve">Yang, H., Lui, X.-Y., Zhong, S., &amp; Walid, A. (2020). Deep Reinforcement Learning for Automated Stock Trading: An Ensemble Strategy. </w:t>
              </w:r>
              <w:r w:rsidRPr="0068599F">
                <w:rPr>
                  <w:i/>
                  <w:iCs/>
                  <w:noProof/>
                  <w:lang w:val="en-US"/>
                </w:rPr>
                <w:t>Proceedings of the First ACM International Conference on AI in Finance.</w:t>
              </w:r>
              <w:r w:rsidRPr="0068599F">
                <w:rPr>
                  <w:noProof/>
                  <w:lang w:val="en-US"/>
                </w:rPr>
                <w:t xml:space="preserve"> Nueva York: Association for Computing Machinery. https://doi.org/10.1145/3383455.3422540</w:t>
              </w:r>
            </w:p>
            <w:p w14:paraId="48545856" w14:textId="77777777" w:rsidR="0068599F" w:rsidRPr="0068599F" w:rsidRDefault="0068599F" w:rsidP="0068599F">
              <w:pPr>
                <w:pStyle w:val="Bibliografa"/>
                <w:ind w:left="720" w:hanging="720"/>
                <w:rPr>
                  <w:noProof/>
                  <w:lang w:val="en-US"/>
                </w:rPr>
              </w:pPr>
              <w:r w:rsidRPr="0068599F">
                <w:rPr>
                  <w:noProof/>
                  <w:lang w:val="en-US"/>
                </w:rPr>
                <w:t xml:space="preserve">Yoon, Y., Swales, G., &amp; Margavio, T. M. (1993). A Comparison of Discriminant Analysis versus Artificial Neural Networks. </w:t>
              </w:r>
              <w:r w:rsidRPr="0068599F">
                <w:rPr>
                  <w:i/>
                  <w:iCs/>
                  <w:noProof/>
                  <w:lang w:val="en-US"/>
                </w:rPr>
                <w:t>Journal of the Operational Research Society, 44</w:t>
              </w:r>
              <w:r w:rsidRPr="0068599F">
                <w:rPr>
                  <w:noProof/>
                  <w:lang w:val="en-US"/>
                </w:rPr>
                <w:t>(1), 51-60. https://doi.org/10.1057/jors.1993.6</w:t>
              </w:r>
            </w:p>
            <w:p w14:paraId="66CDAA70" w14:textId="77777777" w:rsidR="0068599F" w:rsidRPr="0068599F" w:rsidRDefault="0068599F" w:rsidP="0068599F">
              <w:pPr>
                <w:pStyle w:val="Bibliografa"/>
                <w:ind w:left="720" w:hanging="720"/>
                <w:rPr>
                  <w:noProof/>
                  <w:lang w:val="en-US"/>
                </w:rPr>
              </w:pPr>
              <w:r>
                <w:rPr>
                  <w:noProof/>
                  <w:lang w:val="es-ES"/>
                </w:rPr>
                <w:t xml:space="preserve">Zenios, S. A., &amp; Ziemba, W. T. (2007). </w:t>
              </w:r>
              <w:r w:rsidRPr="0068599F">
                <w:rPr>
                  <w:i/>
                  <w:iCs/>
                  <w:noProof/>
                  <w:lang w:val="en-US"/>
                </w:rPr>
                <w:t>Handbook of Asset and Liability Management: Applications and case studies.</w:t>
              </w:r>
              <w:r w:rsidRPr="0068599F">
                <w:rPr>
                  <w:noProof/>
                  <w:lang w:val="en-US"/>
                </w:rPr>
                <w:t xml:space="preserve"> Elsevier.</w:t>
              </w:r>
            </w:p>
            <w:p w14:paraId="7B108AA9" w14:textId="77777777" w:rsidR="0068599F" w:rsidRPr="0068599F" w:rsidRDefault="0068599F" w:rsidP="0068599F">
              <w:pPr>
                <w:pStyle w:val="Bibliografa"/>
                <w:ind w:left="720" w:hanging="720"/>
                <w:rPr>
                  <w:noProof/>
                  <w:lang w:val="en-US"/>
                </w:rPr>
              </w:pPr>
              <w:r w:rsidRPr="0068599F">
                <w:rPr>
                  <w:noProof/>
                  <w:lang w:val="en-US"/>
                </w:rPr>
                <w:t xml:space="preserve">Zhang, N., Lin, A., &amp; Shang, P. (2017). Multidimensional k-nearest neighbor model based on EEMD for financial time series forecasting. </w:t>
              </w:r>
              <w:r w:rsidRPr="0068599F">
                <w:rPr>
                  <w:i/>
                  <w:iCs/>
                  <w:noProof/>
                  <w:lang w:val="en-US"/>
                </w:rPr>
                <w:t>Physica A: Statistical Mechanics and its Applications, 477</w:t>
              </w:r>
              <w:r w:rsidRPr="0068599F">
                <w:rPr>
                  <w:noProof/>
                  <w:lang w:val="en-US"/>
                </w:rPr>
                <w:t>, 161-173. https://doi.org/https://doi.org/10.1016/j.physa.2017.02.072</w:t>
              </w:r>
            </w:p>
            <w:p w14:paraId="44A47EE3" w14:textId="77777777" w:rsidR="0068599F" w:rsidRDefault="0068599F" w:rsidP="0068599F">
              <w:pPr>
                <w:pStyle w:val="Bibliografa"/>
                <w:ind w:left="720" w:hanging="720"/>
                <w:rPr>
                  <w:noProof/>
                  <w:lang w:val="es-ES"/>
                </w:rPr>
              </w:pPr>
              <w:r w:rsidRPr="0068599F">
                <w:rPr>
                  <w:noProof/>
                  <w:lang w:val="en-US"/>
                </w:rPr>
                <w:t xml:space="preserve">Zimmermann, H., Neuneier, R., &amp; Grothmann, R. (2000). Modeling of the german yield curve by error correction neural networks. </w:t>
              </w:r>
              <w:r w:rsidRPr="0068599F">
                <w:rPr>
                  <w:i/>
                  <w:iCs/>
                  <w:noProof/>
                  <w:lang w:val="en-US"/>
                </w:rPr>
                <w:t>Proceedings of the Second International Conference on Intelligent Data Engineering and Automated Learning, Data Mining, Financial Engineering, and Intelligent Agents</w:t>
              </w:r>
              <w:r w:rsidRPr="0068599F">
                <w:rPr>
                  <w:noProof/>
                  <w:lang w:val="en-US"/>
                </w:rPr>
                <w:t xml:space="preserve"> (págs. </w:t>
              </w:r>
              <w:r>
                <w:rPr>
                  <w:noProof/>
                  <w:lang w:val="es-ES"/>
                </w:rPr>
                <w:t>262-267). Berlín: Springer-Verlag.</w:t>
              </w:r>
            </w:p>
            <w:p w14:paraId="52E978A9" w14:textId="3BFB7EAA" w:rsidR="000E4763" w:rsidRDefault="000E4763" w:rsidP="0068599F">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4" w:name="_bookmark11"/>
      <w:bookmarkEnd w:id="14"/>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5" w:name="_bookmark12"/>
      <w:bookmarkEnd w:id="15"/>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6" w:name="_bookmark13"/>
      <w:bookmarkEnd w:id="16"/>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7" w:name="_bookmark14"/>
      <w:bookmarkEnd w:id="17"/>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5"/>
      <w:bookmarkEnd w:id="18"/>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6"/>
      <w:bookmarkEnd w:id="19"/>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7"/>
      <w:bookmarkEnd w:id="20"/>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8"/>
      <w:bookmarkEnd w:id="21"/>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9"/>
      <w:bookmarkEnd w:id="22"/>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20"/>
      <w:bookmarkEnd w:id="23"/>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7"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21"/>
      <w:bookmarkEnd w:id="24"/>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5" w:name="_bookmark22"/>
      <w:bookmarkEnd w:id="25"/>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6" w:name="_bookmark23"/>
      <w:bookmarkEnd w:id="26"/>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4"/>
      <w:bookmarkEnd w:id="27"/>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5"/>
      <w:bookmarkEnd w:id="28"/>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5517" w14:textId="77777777" w:rsidR="00505756" w:rsidRDefault="00505756" w:rsidP="00C85EFC">
      <w:pPr>
        <w:spacing w:after="0" w:line="240" w:lineRule="auto"/>
      </w:pPr>
      <w:r>
        <w:separator/>
      </w:r>
    </w:p>
  </w:endnote>
  <w:endnote w:type="continuationSeparator" w:id="0">
    <w:p w14:paraId="63E48198" w14:textId="77777777" w:rsidR="00505756" w:rsidRDefault="00505756"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D0686" w14:textId="77777777" w:rsidR="00505756" w:rsidRDefault="00505756" w:rsidP="00C85EFC">
      <w:pPr>
        <w:spacing w:after="0" w:line="240" w:lineRule="auto"/>
      </w:pPr>
      <w:r>
        <w:separator/>
      </w:r>
    </w:p>
  </w:footnote>
  <w:footnote w:type="continuationSeparator" w:id="0">
    <w:p w14:paraId="56F46B87" w14:textId="77777777" w:rsidR="00505756" w:rsidRDefault="00505756" w:rsidP="00C85EFC">
      <w:pPr>
        <w:spacing w:after="0" w:line="240" w:lineRule="auto"/>
      </w:pPr>
      <w:r>
        <w:continuationSeparator/>
      </w:r>
    </w:p>
  </w:footnote>
  <w:footnote w:id="1">
    <w:p w14:paraId="44C36660" w14:textId="1CD1FA18" w:rsidR="007F2E6D" w:rsidRPr="001055D2" w:rsidRDefault="007F2E6D"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El concepto de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and </w:t>
      </w:r>
      <w:proofErr w:type="spellStart"/>
      <w:r w:rsidRPr="001055D2">
        <w:rPr>
          <w:rFonts w:ascii="Times New Roman" w:hAnsi="Times New Roman" w:cs="Times New Roman"/>
          <w:lang w:val="es-CO"/>
        </w:rPr>
        <w:t>Liability</w:t>
      </w:r>
      <w:proofErr w:type="spellEnd"/>
      <w:r w:rsidRPr="001055D2">
        <w:rPr>
          <w:rFonts w:ascii="Times New Roman" w:hAnsi="Times New Roman" w:cs="Times New Roman"/>
          <w:lang w:val="es-CO"/>
        </w:rPr>
        <w:t xml:space="preserve"> Management (ALM) para las entidades financieras suele ser bastante relevante. Es a partir de este concepto que el negocio bancario puede ser rentable y sostenible en el tiempo, y cuenta con un alto nivel de complejidad técnico, ampliamente explicado en </w:t>
      </w:r>
      <w:sdt>
        <w:sdtPr>
          <w:rPr>
            <w:rFonts w:ascii="Times New Roman" w:hAnsi="Times New Roman" w:cs="Times New Roman"/>
            <w:lang w:val="es-CO"/>
          </w:rPr>
          <w:id w:val="-1141579920"/>
          <w:citation/>
        </w:sdtPr>
        <w:sdtContent>
          <w:r w:rsidR="00ED52FA" w:rsidRPr="001055D2">
            <w:rPr>
              <w:rFonts w:ascii="Times New Roman" w:hAnsi="Times New Roman" w:cs="Times New Roman"/>
              <w:lang w:val="es-CO"/>
            </w:rPr>
            <w:fldChar w:fldCharType="begin"/>
          </w:r>
          <w:r w:rsidR="00BE3BC8" w:rsidRPr="001055D2">
            <w:rPr>
              <w:rFonts w:ascii="Times New Roman" w:hAnsi="Times New Roman" w:cs="Times New Roman"/>
              <w:lang w:val="es-CO"/>
            </w:rPr>
            <w:instrText xml:space="preserve">CITATION AZe07 \l 9226 </w:instrText>
          </w:r>
          <w:r w:rsidR="00ED52FA" w:rsidRPr="001055D2">
            <w:rPr>
              <w:rFonts w:ascii="Times New Roman" w:hAnsi="Times New Roman" w:cs="Times New Roman"/>
              <w:lang w:val="es-CO"/>
            </w:rPr>
            <w:fldChar w:fldCharType="separate"/>
          </w:r>
          <w:r w:rsidR="0068599F" w:rsidRPr="0068599F">
            <w:rPr>
              <w:rFonts w:ascii="Times New Roman" w:hAnsi="Times New Roman" w:cs="Times New Roman"/>
              <w:noProof/>
              <w:lang w:val="es-CO"/>
            </w:rPr>
            <w:t>(Zenios &amp; Ziemba, 2007)</w:t>
          </w:r>
          <w:r w:rsidR="00ED52FA" w:rsidRPr="001055D2">
            <w:rPr>
              <w:rFonts w:ascii="Times New Roman" w:hAnsi="Times New Roman" w:cs="Times New Roman"/>
              <w:lang w:val="es-CO"/>
            </w:rPr>
            <w:fldChar w:fldCharType="end"/>
          </w:r>
        </w:sdtContent>
      </w:sdt>
      <w:r w:rsidR="00ED52FA" w:rsidRPr="001055D2">
        <w:rPr>
          <w:rFonts w:ascii="Times New Roman" w:hAnsi="Times New Roman" w:cs="Times New Roman"/>
          <w:lang w:val="es-CO"/>
        </w:rPr>
        <w:t>.</w:t>
      </w:r>
    </w:p>
  </w:footnote>
  <w:footnote w:id="2">
    <w:p w14:paraId="6A7FF315" w14:textId="5B054358" w:rsidR="000E4763" w:rsidRPr="000E4763" w:rsidRDefault="000E4763" w:rsidP="001055D2">
      <w:pPr>
        <w:pStyle w:val="Textonotapie"/>
        <w:jc w:val="both"/>
        <w:rPr>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De acuerdo con cifras oficiales publicadas por la Bolsa de Valores de Colombia </w:t>
      </w:r>
      <w:r w:rsidR="00B27A61" w:rsidRPr="001055D2">
        <w:rPr>
          <w:rFonts w:ascii="Times New Roman" w:hAnsi="Times New Roman" w:cs="Times New Roman"/>
          <w:lang w:val="es-CO"/>
        </w:rPr>
        <w:t xml:space="preserve">en </w:t>
      </w:r>
      <w:sdt>
        <w:sdtPr>
          <w:rPr>
            <w:rFonts w:ascii="Times New Roman" w:hAnsi="Times New Roman" w:cs="Times New Roman"/>
            <w:lang w:val="es-CO"/>
          </w:rPr>
          <w:id w:val="-2085833705"/>
          <w:citation/>
        </w:sdtPr>
        <w:sdtContent>
          <w:r w:rsidR="00B27A61" w:rsidRPr="001055D2">
            <w:rPr>
              <w:rFonts w:ascii="Times New Roman" w:hAnsi="Times New Roman" w:cs="Times New Roman"/>
              <w:lang w:val="es-CO"/>
            </w:rPr>
            <w:fldChar w:fldCharType="begin"/>
          </w:r>
          <w:r w:rsidR="00B401C0" w:rsidRPr="001055D2">
            <w:rPr>
              <w:rFonts w:ascii="Times New Roman" w:hAnsi="Times New Roman" w:cs="Times New Roman"/>
              <w:lang w:val="es-CO"/>
            </w:rPr>
            <w:instrText xml:space="preserve">CITATION Bol \t  \l 9226 </w:instrText>
          </w:r>
          <w:r w:rsidR="00B27A61" w:rsidRPr="001055D2">
            <w:rPr>
              <w:rFonts w:ascii="Times New Roman" w:hAnsi="Times New Roman" w:cs="Times New Roman"/>
              <w:lang w:val="es-CO"/>
            </w:rPr>
            <w:fldChar w:fldCharType="separate"/>
          </w:r>
          <w:r w:rsidR="0068599F" w:rsidRPr="0068599F">
            <w:rPr>
              <w:rFonts w:ascii="Times New Roman" w:hAnsi="Times New Roman" w:cs="Times New Roman"/>
              <w:noProof/>
              <w:lang w:val="es-CO"/>
            </w:rPr>
            <w:t>(Bolsa de Valores de Colombia S.A, 2023)</w:t>
          </w:r>
          <w:r w:rsidR="00B27A61" w:rsidRPr="001055D2">
            <w:rPr>
              <w:rFonts w:ascii="Times New Roman" w:hAnsi="Times New Roman" w:cs="Times New Roman"/>
              <w:lang w:val="es-CO"/>
            </w:rPr>
            <w:fldChar w:fldCharType="end"/>
          </w:r>
        </w:sdtContent>
      </w:sdt>
      <w:r w:rsidRPr="001055D2">
        <w:rPr>
          <w:rFonts w:ascii="Times New Roman" w:hAnsi="Times New Roman" w:cs="Times New Roman"/>
          <w:lang w:val="es-CO"/>
        </w:rPr>
        <w:t>, el monto diario negociado de deuda pública en el mercado público promedia los 1,8 billones de pesos colombianos, convirtiéndolo así en el mercado de valores más líquido, amplio y profundo que opera en Colombia. Si se desea, se puede comparar con el volumen medio del mercado accionario de tan solo 70 mil millones de pesos colombianos al día.</w:t>
      </w:r>
    </w:p>
  </w:footnote>
  <w:footnote w:id="3">
    <w:p w14:paraId="215B6ADA" w14:textId="2EAC6912" w:rsidR="00F84F61" w:rsidRPr="001055D2" w:rsidRDefault="00F84F61"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w:t>
      </w:r>
      <w:sdt>
        <w:sdtPr>
          <w:rPr>
            <w:rFonts w:ascii="Times New Roman" w:hAnsi="Times New Roman" w:cs="Times New Roman"/>
          </w:rPr>
          <w:id w:val="1809431870"/>
          <w:citation/>
        </w:sdtPr>
        <w:sdtContent>
          <w:r w:rsidRPr="001055D2">
            <w:rPr>
              <w:rFonts w:ascii="Times New Roman" w:hAnsi="Times New Roman" w:cs="Times New Roman"/>
            </w:rPr>
            <w:fldChar w:fldCharType="begin"/>
          </w:r>
          <w:r w:rsidRPr="001055D2">
            <w:rPr>
              <w:rFonts w:ascii="Times New Roman" w:hAnsi="Times New Roman" w:cs="Times New Roman"/>
              <w:lang w:val="es-CO"/>
            </w:rPr>
            <w:instrText xml:space="preserve"> CITATION Lóp20 \l 9226 </w:instrText>
          </w:r>
          <w:r w:rsidRPr="001055D2">
            <w:rPr>
              <w:rFonts w:ascii="Times New Roman" w:hAnsi="Times New Roman" w:cs="Times New Roman"/>
            </w:rPr>
            <w:fldChar w:fldCharType="separate"/>
          </w:r>
          <w:r w:rsidR="0068599F" w:rsidRPr="0068599F">
            <w:rPr>
              <w:rFonts w:ascii="Times New Roman" w:hAnsi="Times New Roman" w:cs="Times New Roman"/>
              <w:noProof/>
              <w:lang w:val="es-CO"/>
            </w:rPr>
            <w:t>(López de Prado, 2020)</w:t>
          </w:r>
          <w:r w:rsidRPr="001055D2">
            <w:rPr>
              <w:rFonts w:ascii="Times New Roman" w:hAnsi="Times New Roman" w:cs="Times New Roman"/>
            </w:rPr>
            <w:fldChar w:fldCharType="end"/>
          </w:r>
        </w:sdtContent>
      </w:sdt>
      <w:r w:rsidRPr="001055D2">
        <w:rPr>
          <w:rFonts w:ascii="Times New Roman" w:hAnsi="Times New Roman" w:cs="Times New Roman"/>
          <w:lang w:val="es-CO"/>
        </w:rPr>
        <w:t xml:space="preserve"> explica en su libro como el Machine </w:t>
      </w:r>
      <w:proofErr w:type="spellStart"/>
      <w:r w:rsidRPr="001055D2">
        <w:rPr>
          <w:rFonts w:ascii="Times New Roman" w:hAnsi="Times New Roman" w:cs="Times New Roman"/>
          <w:lang w:val="es-CO"/>
        </w:rPr>
        <w:t>Learning</w:t>
      </w:r>
      <w:proofErr w:type="spellEnd"/>
      <w:r w:rsidRPr="001055D2">
        <w:rPr>
          <w:rFonts w:ascii="Times New Roman" w:hAnsi="Times New Roman" w:cs="Times New Roman"/>
          <w:lang w:val="es-CO"/>
        </w:rPr>
        <w:t xml:space="preserve"> ha impactado positivamente la gestión de los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managers, es decir, los gestores de carteras de inversión, toda vez que se minimizan tiempos de análisis de las potenciales inversiones, al tiempo que los mismos son, en general, más precisos. Todo esto ayuda al gestor a tomar decisiones más informadas, y, en general, mejores para su gestión específica.</w:t>
      </w:r>
    </w:p>
  </w:footnote>
  <w:footnote w:id="4">
    <w:p w14:paraId="06BA3302" w14:textId="191CB8FB" w:rsidR="001055D2" w:rsidRPr="001055D2" w:rsidRDefault="001055D2"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Rendimiento al Vencimiento, en inglés, </w:t>
      </w:r>
      <w:proofErr w:type="spellStart"/>
      <w:r w:rsidRPr="001055D2">
        <w:rPr>
          <w:rFonts w:ascii="Times New Roman" w:hAnsi="Times New Roman" w:cs="Times New Roman"/>
          <w:lang w:val="es-CO"/>
        </w:rPr>
        <w:t>Yield</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To</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Maturity</w:t>
      </w:r>
      <w:proofErr w:type="spellEnd"/>
      <w:r w:rsidRPr="001055D2">
        <w:rPr>
          <w:rFonts w:ascii="Times New Roman" w:hAnsi="Times New Roman" w:cs="Times New Roman"/>
          <w:lang w:val="es-CO"/>
        </w:rPr>
        <w:t xml:space="preserve"> (YTM), es la tasa de descuento justa a la que se descuentan los flujos de caja futuros del título negociado para que el precio de este sea considerado por el mercado como el «precio justo». Esto implica que ese precio justo es igual a los flujos de caja descontados, y, por tanto, si el inversionista compra el título y decir mantenerlo hasta su fecha de vencimiento,</w:t>
      </w:r>
      <w:r w:rsidR="00153E66">
        <w:rPr>
          <w:rFonts w:ascii="Times New Roman" w:hAnsi="Times New Roman" w:cs="Times New Roman"/>
          <w:lang w:val="es-CO"/>
        </w:rPr>
        <w:t xml:space="preserve"> entonces</w:t>
      </w:r>
      <w:r w:rsidRPr="001055D2">
        <w:rPr>
          <w:rFonts w:ascii="Times New Roman" w:hAnsi="Times New Roman" w:cs="Times New Roman"/>
          <w:lang w:val="es-CO"/>
        </w:rPr>
        <w:t xml:space="preserve"> su Tasa Interna de Retorno (TIR), será igual a la YTM.</w:t>
      </w:r>
    </w:p>
  </w:footnote>
  <w:footnote w:id="5">
    <w:p w14:paraId="18219E10" w14:textId="77777777" w:rsidR="007215D4" w:rsidRDefault="007215D4" w:rsidP="007215D4">
      <w:pPr>
        <w:pStyle w:val="Textonotapie"/>
        <w:jc w:val="both"/>
        <w:rPr>
          <w:rFonts w:ascii="Times New Roman" w:hAnsi="Times New Roman" w:cs="Times New Roman"/>
          <w:lang w:val="es-CO"/>
        </w:rPr>
      </w:pPr>
      <w:r w:rsidRPr="003C58D0">
        <w:rPr>
          <w:rStyle w:val="Refdenotaalpie"/>
          <w:rFonts w:ascii="Times New Roman" w:hAnsi="Times New Roman" w:cs="Times New Roman"/>
        </w:rPr>
        <w:footnoteRef/>
      </w:r>
      <w:r w:rsidRPr="003C58D0">
        <w:rPr>
          <w:rFonts w:ascii="Times New Roman" w:hAnsi="Times New Roman" w:cs="Times New Roman"/>
          <w:lang w:val="es-CO"/>
        </w:rPr>
        <w:t xml:space="preserve"> </w:t>
      </w:r>
      <w:r>
        <w:rPr>
          <w:rFonts w:ascii="Times New Roman" w:hAnsi="Times New Roman" w:cs="Times New Roman"/>
          <w:lang w:val="es-CO"/>
        </w:rPr>
        <w:t>El nemotécnico de un TES</w:t>
      </w:r>
      <w:r w:rsidRPr="003C58D0">
        <w:rPr>
          <w:rFonts w:ascii="Times New Roman" w:hAnsi="Times New Roman" w:cs="Times New Roman"/>
          <w:lang w:val="es-CO"/>
        </w:rPr>
        <w:t xml:space="preserve"> tiene la siguiente estructura</w:t>
      </w:r>
      <w:r>
        <w:rPr>
          <w:rFonts w:ascii="Times New Roman" w:hAnsi="Times New Roman" w:cs="Times New Roman"/>
          <w:lang w:val="es-CO"/>
        </w:rPr>
        <w:t xml:space="preserve"> según la posición de sus caracteres</w:t>
      </w:r>
      <w:r w:rsidRPr="003C58D0">
        <w:rPr>
          <w:rFonts w:ascii="Times New Roman" w:hAnsi="Times New Roman" w:cs="Times New Roman"/>
          <w:lang w:val="es-CO"/>
        </w:rPr>
        <w:t>:</w:t>
      </w:r>
      <w:r>
        <w:rPr>
          <w:rFonts w:ascii="Times New Roman" w:hAnsi="Times New Roman" w:cs="Times New Roman"/>
          <w:lang w:val="es-CO"/>
        </w:rPr>
        <w:t xml:space="preserve"> </w:t>
      </w:r>
    </w:p>
    <w:p w14:paraId="5CB97DF0" w14:textId="77777777" w:rsidR="007215D4" w:rsidRPr="003C58D0" w:rsidRDefault="007215D4" w:rsidP="007215D4">
      <w:pPr>
        <w:pStyle w:val="Textonotapie"/>
        <w:jc w:val="both"/>
        <w:rPr>
          <w:rFonts w:ascii="Times New Roman" w:hAnsi="Times New Roman" w:cs="Times New Roman"/>
          <w:lang w:val="es-CO"/>
        </w:rPr>
      </w:pPr>
      <w:r>
        <w:rPr>
          <w:rFonts w:ascii="Times New Roman" w:hAnsi="Times New Roman" w:cs="Times New Roman"/>
          <w:lang w:val="es-CO"/>
        </w:rPr>
        <w:t xml:space="preserve">Ejemplo </w:t>
      </w:r>
      <w:r w:rsidRPr="003C58D0">
        <w:rPr>
          <w:rFonts w:ascii="Times New Roman" w:hAnsi="Times New Roman" w:cs="Times New Roman"/>
          <w:lang w:val="es-CO"/>
        </w:rPr>
        <w:t>TFIT16240724</w:t>
      </w:r>
      <w:r>
        <w:rPr>
          <w:rFonts w:ascii="Times New Roman" w:hAnsi="Times New Roman" w:cs="Times New Roman"/>
          <w:lang w:val="es-CO"/>
        </w:rPr>
        <w:t>.</w:t>
      </w:r>
    </w:p>
    <w:p w14:paraId="53214DE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1: TES Clase B.</w:t>
      </w:r>
    </w:p>
    <w:p w14:paraId="3FB5ADF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2-4: Tipo de Tasa y Amortización</w:t>
      </w:r>
    </w:p>
    <w:p w14:paraId="37DEE465"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5-6: Años comprendidos entre la emisión y el vencimiento</w:t>
      </w:r>
    </w:p>
    <w:p w14:paraId="7CECDB77" w14:textId="77777777" w:rsidR="007215D4" w:rsidRPr="003C58D0" w:rsidRDefault="007215D4" w:rsidP="007215D4">
      <w:pPr>
        <w:pStyle w:val="Textonotapie"/>
        <w:jc w:val="both"/>
        <w:rPr>
          <w:lang w:val="es-CO"/>
        </w:rPr>
      </w:pPr>
      <w:r w:rsidRPr="003C58D0">
        <w:rPr>
          <w:rFonts w:ascii="Times New Roman" w:hAnsi="Times New Roman" w:cs="Times New Roman"/>
          <w:lang w:val="es-CO"/>
        </w:rPr>
        <w:t>• 7-12: Fecha de vencimiento en formato DDMMA</w:t>
      </w:r>
    </w:p>
  </w:footnote>
  <w:footnote w:id="6">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26E"/>
    <w:multiLevelType w:val="hybridMultilevel"/>
    <w:tmpl w:val="DCA08A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E434B07"/>
    <w:multiLevelType w:val="hybridMultilevel"/>
    <w:tmpl w:val="6A246D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0CC0D0E"/>
    <w:multiLevelType w:val="hybridMultilevel"/>
    <w:tmpl w:val="2E503C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4"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8"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9"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10"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11"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12"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3"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4"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5"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6" w15:restartNumberingAfterBreak="0">
    <w:nsid w:val="6FF563F6"/>
    <w:multiLevelType w:val="hybridMultilevel"/>
    <w:tmpl w:val="7AF69A48"/>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7"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8"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11"/>
  </w:num>
  <w:num w:numId="2" w16cid:durableId="748500987">
    <w:abstractNumId w:val="10"/>
  </w:num>
  <w:num w:numId="3" w16cid:durableId="1443526484">
    <w:abstractNumId w:val="13"/>
  </w:num>
  <w:num w:numId="4" w16cid:durableId="392043196">
    <w:abstractNumId w:val="15"/>
  </w:num>
  <w:num w:numId="5" w16cid:durableId="1270044569">
    <w:abstractNumId w:val="6"/>
  </w:num>
  <w:num w:numId="6" w16cid:durableId="1465810705">
    <w:abstractNumId w:val="5"/>
  </w:num>
  <w:num w:numId="7" w16cid:durableId="2125151808">
    <w:abstractNumId w:val="18"/>
  </w:num>
  <w:num w:numId="8" w16cid:durableId="1750695421">
    <w:abstractNumId w:val="8"/>
  </w:num>
  <w:num w:numId="9" w16cid:durableId="1136335323">
    <w:abstractNumId w:val="4"/>
  </w:num>
  <w:num w:numId="10" w16cid:durableId="2005669231">
    <w:abstractNumId w:val="17"/>
  </w:num>
  <w:num w:numId="11" w16cid:durableId="1978097924">
    <w:abstractNumId w:val="3"/>
  </w:num>
  <w:num w:numId="12" w16cid:durableId="192034211">
    <w:abstractNumId w:val="14"/>
  </w:num>
  <w:num w:numId="13" w16cid:durableId="273023788">
    <w:abstractNumId w:val="12"/>
  </w:num>
  <w:num w:numId="14" w16cid:durableId="910772133">
    <w:abstractNumId w:val="9"/>
  </w:num>
  <w:num w:numId="15" w16cid:durableId="706217464">
    <w:abstractNumId w:val="7"/>
  </w:num>
  <w:num w:numId="16" w16cid:durableId="355423326">
    <w:abstractNumId w:val="16"/>
  </w:num>
  <w:num w:numId="17" w16cid:durableId="1593471630">
    <w:abstractNumId w:val="1"/>
  </w:num>
  <w:num w:numId="18" w16cid:durableId="665597795">
    <w:abstractNumId w:val="2"/>
  </w:num>
  <w:num w:numId="19" w16cid:durableId="886263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27D8A"/>
    <w:rsid w:val="00040872"/>
    <w:rsid w:val="00043F3C"/>
    <w:rsid w:val="00067C7F"/>
    <w:rsid w:val="000702AF"/>
    <w:rsid w:val="00073B4C"/>
    <w:rsid w:val="000836C6"/>
    <w:rsid w:val="0009365B"/>
    <w:rsid w:val="00097FBF"/>
    <w:rsid w:val="000B0B2D"/>
    <w:rsid w:val="000B11A9"/>
    <w:rsid w:val="000B56D6"/>
    <w:rsid w:val="000B5804"/>
    <w:rsid w:val="000C2949"/>
    <w:rsid w:val="000C77F4"/>
    <w:rsid w:val="000D36D4"/>
    <w:rsid w:val="000D52DC"/>
    <w:rsid w:val="000D6FB2"/>
    <w:rsid w:val="000D7C91"/>
    <w:rsid w:val="000E33E6"/>
    <w:rsid w:val="000E4763"/>
    <w:rsid w:val="000F0686"/>
    <w:rsid w:val="000F13AC"/>
    <w:rsid w:val="001055D2"/>
    <w:rsid w:val="00116B7C"/>
    <w:rsid w:val="00120390"/>
    <w:rsid w:val="00120C1C"/>
    <w:rsid w:val="00123ACA"/>
    <w:rsid w:val="001424AC"/>
    <w:rsid w:val="00153E66"/>
    <w:rsid w:val="001629CA"/>
    <w:rsid w:val="0017504A"/>
    <w:rsid w:val="001752C8"/>
    <w:rsid w:val="001840C4"/>
    <w:rsid w:val="001852ED"/>
    <w:rsid w:val="0018779C"/>
    <w:rsid w:val="00187CD8"/>
    <w:rsid w:val="00187EAE"/>
    <w:rsid w:val="00192DCF"/>
    <w:rsid w:val="001B2AB3"/>
    <w:rsid w:val="001B39AC"/>
    <w:rsid w:val="001B5FF0"/>
    <w:rsid w:val="001B7067"/>
    <w:rsid w:val="001B77D7"/>
    <w:rsid w:val="001D1686"/>
    <w:rsid w:val="001D453E"/>
    <w:rsid w:val="001D751A"/>
    <w:rsid w:val="001E6660"/>
    <w:rsid w:val="001E749E"/>
    <w:rsid w:val="001F2D9A"/>
    <w:rsid w:val="001F7171"/>
    <w:rsid w:val="002009C8"/>
    <w:rsid w:val="002151E1"/>
    <w:rsid w:val="00216744"/>
    <w:rsid w:val="002167C3"/>
    <w:rsid w:val="00221F47"/>
    <w:rsid w:val="00227D9F"/>
    <w:rsid w:val="00256A87"/>
    <w:rsid w:val="00261714"/>
    <w:rsid w:val="0026728B"/>
    <w:rsid w:val="002808A3"/>
    <w:rsid w:val="00282A15"/>
    <w:rsid w:val="00283C7E"/>
    <w:rsid w:val="0028715F"/>
    <w:rsid w:val="00292EE5"/>
    <w:rsid w:val="002948F7"/>
    <w:rsid w:val="00295FFC"/>
    <w:rsid w:val="002A166D"/>
    <w:rsid w:val="002A503C"/>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7586"/>
    <w:rsid w:val="00376AAB"/>
    <w:rsid w:val="00376FF5"/>
    <w:rsid w:val="0038474A"/>
    <w:rsid w:val="00384E7E"/>
    <w:rsid w:val="00386D67"/>
    <w:rsid w:val="00391DE6"/>
    <w:rsid w:val="00394DFC"/>
    <w:rsid w:val="003A5589"/>
    <w:rsid w:val="003C3B53"/>
    <w:rsid w:val="003C58D0"/>
    <w:rsid w:val="003E0AD5"/>
    <w:rsid w:val="003E4648"/>
    <w:rsid w:val="003E6FAB"/>
    <w:rsid w:val="003F2A1F"/>
    <w:rsid w:val="003F4505"/>
    <w:rsid w:val="00402AA5"/>
    <w:rsid w:val="00403276"/>
    <w:rsid w:val="00404DFC"/>
    <w:rsid w:val="00412EC6"/>
    <w:rsid w:val="0042110E"/>
    <w:rsid w:val="00431539"/>
    <w:rsid w:val="00444A8B"/>
    <w:rsid w:val="00455694"/>
    <w:rsid w:val="00475EE0"/>
    <w:rsid w:val="00493BAD"/>
    <w:rsid w:val="004A5B80"/>
    <w:rsid w:val="004A5E8C"/>
    <w:rsid w:val="004B2BD1"/>
    <w:rsid w:val="004C19A4"/>
    <w:rsid w:val="004C3739"/>
    <w:rsid w:val="004D5444"/>
    <w:rsid w:val="004E508A"/>
    <w:rsid w:val="004E7D3A"/>
    <w:rsid w:val="004F37E7"/>
    <w:rsid w:val="004F742E"/>
    <w:rsid w:val="00505756"/>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A743F"/>
    <w:rsid w:val="005B05D4"/>
    <w:rsid w:val="005B1321"/>
    <w:rsid w:val="005B7697"/>
    <w:rsid w:val="005B7B53"/>
    <w:rsid w:val="005C4537"/>
    <w:rsid w:val="005D06B3"/>
    <w:rsid w:val="005D2A0C"/>
    <w:rsid w:val="005F22DA"/>
    <w:rsid w:val="005F2900"/>
    <w:rsid w:val="006013EE"/>
    <w:rsid w:val="006113B4"/>
    <w:rsid w:val="00613063"/>
    <w:rsid w:val="00620B72"/>
    <w:rsid w:val="00622AED"/>
    <w:rsid w:val="00635BA0"/>
    <w:rsid w:val="006365D4"/>
    <w:rsid w:val="006412A8"/>
    <w:rsid w:val="00663FD5"/>
    <w:rsid w:val="006641A2"/>
    <w:rsid w:val="00667B19"/>
    <w:rsid w:val="00674F11"/>
    <w:rsid w:val="0068599F"/>
    <w:rsid w:val="0069227A"/>
    <w:rsid w:val="006A5032"/>
    <w:rsid w:val="006C0B54"/>
    <w:rsid w:val="006D2846"/>
    <w:rsid w:val="006E1D99"/>
    <w:rsid w:val="006E1DB3"/>
    <w:rsid w:val="006F4DEC"/>
    <w:rsid w:val="0071513C"/>
    <w:rsid w:val="00717BFB"/>
    <w:rsid w:val="007215D4"/>
    <w:rsid w:val="0072425D"/>
    <w:rsid w:val="00736135"/>
    <w:rsid w:val="007417CA"/>
    <w:rsid w:val="00750512"/>
    <w:rsid w:val="00750756"/>
    <w:rsid w:val="00757060"/>
    <w:rsid w:val="00761DDA"/>
    <w:rsid w:val="00766594"/>
    <w:rsid w:val="007732FE"/>
    <w:rsid w:val="00780112"/>
    <w:rsid w:val="00781DF5"/>
    <w:rsid w:val="00781ECC"/>
    <w:rsid w:val="007920AC"/>
    <w:rsid w:val="00795820"/>
    <w:rsid w:val="007959A4"/>
    <w:rsid w:val="007960EB"/>
    <w:rsid w:val="007A21B0"/>
    <w:rsid w:val="007C1940"/>
    <w:rsid w:val="007D36A7"/>
    <w:rsid w:val="007E5179"/>
    <w:rsid w:val="007E6DB8"/>
    <w:rsid w:val="007F2E6D"/>
    <w:rsid w:val="008142EA"/>
    <w:rsid w:val="00820062"/>
    <w:rsid w:val="008215A2"/>
    <w:rsid w:val="00821D2C"/>
    <w:rsid w:val="00823AF1"/>
    <w:rsid w:val="00830FD4"/>
    <w:rsid w:val="00834DE5"/>
    <w:rsid w:val="00835EAC"/>
    <w:rsid w:val="008407C3"/>
    <w:rsid w:val="008464C5"/>
    <w:rsid w:val="00847C45"/>
    <w:rsid w:val="00854618"/>
    <w:rsid w:val="00875F07"/>
    <w:rsid w:val="00883DEE"/>
    <w:rsid w:val="00895761"/>
    <w:rsid w:val="008B7B5A"/>
    <w:rsid w:val="008C52E1"/>
    <w:rsid w:val="008D0BC9"/>
    <w:rsid w:val="008D5845"/>
    <w:rsid w:val="008E28A2"/>
    <w:rsid w:val="008E40D1"/>
    <w:rsid w:val="008E60ED"/>
    <w:rsid w:val="008E6B46"/>
    <w:rsid w:val="008E6FE9"/>
    <w:rsid w:val="008E7BE4"/>
    <w:rsid w:val="008F01B4"/>
    <w:rsid w:val="008F1E45"/>
    <w:rsid w:val="00901620"/>
    <w:rsid w:val="00906ED1"/>
    <w:rsid w:val="00907A2E"/>
    <w:rsid w:val="0091646B"/>
    <w:rsid w:val="00916A40"/>
    <w:rsid w:val="00916E7F"/>
    <w:rsid w:val="00926A76"/>
    <w:rsid w:val="00934826"/>
    <w:rsid w:val="009518A3"/>
    <w:rsid w:val="00955E4E"/>
    <w:rsid w:val="0096268F"/>
    <w:rsid w:val="009632C4"/>
    <w:rsid w:val="00965F0A"/>
    <w:rsid w:val="0097305D"/>
    <w:rsid w:val="00977330"/>
    <w:rsid w:val="00991215"/>
    <w:rsid w:val="00994FFC"/>
    <w:rsid w:val="009A2546"/>
    <w:rsid w:val="009B410D"/>
    <w:rsid w:val="009B6026"/>
    <w:rsid w:val="009C0384"/>
    <w:rsid w:val="009D01D6"/>
    <w:rsid w:val="009D68C7"/>
    <w:rsid w:val="009E677C"/>
    <w:rsid w:val="009F1FF2"/>
    <w:rsid w:val="009F51BB"/>
    <w:rsid w:val="009F5742"/>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8CF"/>
    <w:rsid w:val="00BC3B75"/>
    <w:rsid w:val="00BE3BC8"/>
    <w:rsid w:val="00BE452D"/>
    <w:rsid w:val="00C0397C"/>
    <w:rsid w:val="00C03E48"/>
    <w:rsid w:val="00C05934"/>
    <w:rsid w:val="00C065BB"/>
    <w:rsid w:val="00C23B8D"/>
    <w:rsid w:val="00C24E3B"/>
    <w:rsid w:val="00C24F56"/>
    <w:rsid w:val="00C33478"/>
    <w:rsid w:val="00C339CD"/>
    <w:rsid w:val="00C378B5"/>
    <w:rsid w:val="00C440F6"/>
    <w:rsid w:val="00C63092"/>
    <w:rsid w:val="00C657FD"/>
    <w:rsid w:val="00C66901"/>
    <w:rsid w:val="00C66CE8"/>
    <w:rsid w:val="00C6758F"/>
    <w:rsid w:val="00C71A3B"/>
    <w:rsid w:val="00C82445"/>
    <w:rsid w:val="00C85437"/>
    <w:rsid w:val="00C85EFC"/>
    <w:rsid w:val="00C8625E"/>
    <w:rsid w:val="00C868C2"/>
    <w:rsid w:val="00C90E8B"/>
    <w:rsid w:val="00C92670"/>
    <w:rsid w:val="00C97602"/>
    <w:rsid w:val="00CA0217"/>
    <w:rsid w:val="00CA3488"/>
    <w:rsid w:val="00CB175C"/>
    <w:rsid w:val="00CB265F"/>
    <w:rsid w:val="00CB2B0B"/>
    <w:rsid w:val="00CB3D3A"/>
    <w:rsid w:val="00CC4D72"/>
    <w:rsid w:val="00CD050D"/>
    <w:rsid w:val="00CF1C4C"/>
    <w:rsid w:val="00CF697E"/>
    <w:rsid w:val="00CF6A70"/>
    <w:rsid w:val="00D02A58"/>
    <w:rsid w:val="00D14140"/>
    <w:rsid w:val="00D20354"/>
    <w:rsid w:val="00D27799"/>
    <w:rsid w:val="00D31798"/>
    <w:rsid w:val="00D374E7"/>
    <w:rsid w:val="00D403B3"/>
    <w:rsid w:val="00D46FAF"/>
    <w:rsid w:val="00D72A35"/>
    <w:rsid w:val="00D75DCA"/>
    <w:rsid w:val="00D833B1"/>
    <w:rsid w:val="00D90BF5"/>
    <w:rsid w:val="00D90CBA"/>
    <w:rsid w:val="00D93113"/>
    <w:rsid w:val="00D9362E"/>
    <w:rsid w:val="00D94C4A"/>
    <w:rsid w:val="00D95435"/>
    <w:rsid w:val="00DB2F73"/>
    <w:rsid w:val="00DC6F0F"/>
    <w:rsid w:val="00DE237A"/>
    <w:rsid w:val="00DF36F2"/>
    <w:rsid w:val="00DF47E6"/>
    <w:rsid w:val="00E0403C"/>
    <w:rsid w:val="00E0775A"/>
    <w:rsid w:val="00E10CFB"/>
    <w:rsid w:val="00E12069"/>
    <w:rsid w:val="00E25A67"/>
    <w:rsid w:val="00E27234"/>
    <w:rsid w:val="00E3135D"/>
    <w:rsid w:val="00E33E9C"/>
    <w:rsid w:val="00E42568"/>
    <w:rsid w:val="00E6438F"/>
    <w:rsid w:val="00E945DE"/>
    <w:rsid w:val="00E972E8"/>
    <w:rsid w:val="00EA023E"/>
    <w:rsid w:val="00EA61CE"/>
    <w:rsid w:val="00EB3981"/>
    <w:rsid w:val="00EB5E60"/>
    <w:rsid w:val="00EB65B4"/>
    <w:rsid w:val="00EC0D6A"/>
    <w:rsid w:val="00EC6B14"/>
    <w:rsid w:val="00EC6EA0"/>
    <w:rsid w:val="00ED1EF5"/>
    <w:rsid w:val="00ED3B53"/>
    <w:rsid w:val="00ED52FA"/>
    <w:rsid w:val="00EE0057"/>
    <w:rsid w:val="00EE25BF"/>
    <w:rsid w:val="00EE4348"/>
    <w:rsid w:val="00F00D39"/>
    <w:rsid w:val="00F138AB"/>
    <w:rsid w:val="00F25F27"/>
    <w:rsid w:val="00F3429E"/>
    <w:rsid w:val="00F34E14"/>
    <w:rsid w:val="00F42E28"/>
    <w:rsid w:val="00F5259A"/>
    <w:rsid w:val="00F71B6F"/>
    <w:rsid w:val="00F7306D"/>
    <w:rsid w:val="00F8182E"/>
    <w:rsid w:val="00F84DF4"/>
    <w:rsid w:val="00F84F61"/>
    <w:rsid w:val="00F97287"/>
    <w:rsid w:val="00FA488C"/>
    <w:rsid w:val="00FB3EE1"/>
    <w:rsid w:val="00FB66C3"/>
    <w:rsid w:val="00FC67D2"/>
    <w:rsid w:val="00FF0C12"/>
    <w:rsid w:val="00FF31F9"/>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83">
      <w:bodyDiv w:val="1"/>
      <w:marLeft w:val="0"/>
      <w:marRight w:val="0"/>
      <w:marTop w:val="0"/>
      <w:marBottom w:val="0"/>
      <w:divBdr>
        <w:top w:val="none" w:sz="0" w:space="0" w:color="auto"/>
        <w:left w:val="none" w:sz="0" w:space="0" w:color="auto"/>
        <w:bottom w:val="none" w:sz="0" w:space="0" w:color="auto"/>
        <w:right w:val="none" w:sz="0" w:space="0" w:color="auto"/>
      </w:divBdr>
    </w:div>
    <w:div w:id="6639044">
      <w:bodyDiv w:val="1"/>
      <w:marLeft w:val="0"/>
      <w:marRight w:val="0"/>
      <w:marTop w:val="0"/>
      <w:marBottom w:val="0"/>
      <w:divBdr>
        <w:top w:val="none" w:sz="0" w:space="0" w:color="auto"/>
        <w:left w:val="none" w:sz="0" w:space="0" w:color="auto"/>
        <w:bottom w:val="none" w:sz="0" w:space="0" w:color="auto"/>
        <w:right w:val="none" w:sz="0" w:space="0" w:color="auto"/>
      </w:divBdr>
    </w:div>
    <w:div w:id="15157452">
      <w:bodyDiv w:val="1"/>
      <w:marLeft w:val="0"/>
      <w:marRight w:val="0"/>
      <w:marTop w:val="0"/>
      <w:marBottom w:val="0"/>
      <w:divBdr>
        <w:top w:val="none" w:sz="0" w:space="0" w:color="auto"/>
        <w:left w:val="none" w:sz="0" w:space="0" w:color="auto"/>
        <w:bottom w:val="none" w:sz="0" w:space="0" w:color="auto"/>
        <w:right w:val="none" w:sz="0" w:space="0" w:color="auto"/>
      </w:divBdr>
    </w:div>
    <w:div w:id="19356220">
      <w:bodyDiv w:val="1"/>
      <w:marLeft w:val="0"/>
      <w:marRight w:val="0"/>
      <w:marTop w:val="0"/>
      <w:marBottom w:val="0"/>
      <w:divBdr>
        <w:top w:val="none" w:sz="0" w:space="0" w:color="auto"/>
        <w:left w:val="none" w:sz="0" w:space="0" w:color="auto"/>
        <w:bottom w:val="none" w:sz="0" w:space="0" w:color="auto"/>
        <w:right w:val="none" w:sz="0" w:space="0" w:color="auto"/>
      </w:divBdr>
    </w:div>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28337159">
      <w:bodyDiv w:val="1"/>
      <w:marLeft w:val="0"/>
      <w:marRight w:val="0"/>
      <w:marTop w:val="0"/>
      <w:marBottom w:val="0"/>
      <w:divBdr>
        <w:top w:val="none" w:sz="0" w:space="0" w:color="auto"/>
        <w:left w:val="none" w:sz="0" w:space="0" w:color="auto"/>
        <w:bottom w:val="none" w:sz="0" w:space="0" w:color="auto"/>
        <w:right w:val="none" w:sz="0" w:space="0" w:color="auto"/>
      </w:divBdr>
    </w:div>
    <w:div w:id="28916030">
      <w:bodyDiv w:val="1"/>
      <w:marLeft w:val="0"/>
      <w:marRight w:val="0"/>
      <w:marTop w:val="0"/>
      <w:marBottom w:val="0"/>
      <w:divBdr>
        <w:top w:val="none" w:sz="0" w:space="0" w:color="auto"/>
        <w:left w:val="none" w:sz="0" w:space="0" w:color="auto"/>
        <w:bottom w:val="none" w:sz="0" w:space="0" w:color="auto"/>
        <w:right w:val="none" w:sz="0" w:space="0" w:color="auto"/>
      </w:divBdr>
    </w:div>
    <w:div w:id="32534805">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160123">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02730">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2170548">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86384821">
      <w:bodyDiv w:val="1"/>
      <w:marLeft w:val="0"/>
      <w:marRight w:val="0"/>
      <w:marTop w:val="0"/>
      <w:marBottom w:val="0"/>
      <w:divBdr>
        <w:top w:val="none" w:sz="0" w:space="0" w:color="auto"/>
        <w:left w:val="none" w:sz="0" w:space="0" w:color="auto"/>
        <w:bottom w:val="none" w:sz="0" w:space="0" w:color="auto"/>
        <w:right w:val="none" w:sz="0" w:space="0" w:color="auto"/>
      </w:divBdr>
    </w:div>
    <w:div w:id="94444168">
      <w:bodyDiv w:val="1"/>
      <w:marLeft w:val="0"/>
      <w:marRight w:val="0"/>
      <w:marTop w:val="0"/>
      <w:marBottom w:val="0"/>
      <w:divBdr>
        <w:top w:val="none" w:sz="0" w:space="0" w:color="auto"/>
        <w:left w:val="none" w:sz="0" w:space="0" w:color="auto"/>
        <w:bottom w:val="none" w:sz="0" w:space="0" w:color="auto"/>
        <w:right w:val="none" w:sz="0" w:space="0" w:color="auto"/>
      </w:divBdr>
    </w:div>
    <w:div w:id="98912009">
      <w:bodyDiv w:val="1"/>
      <w:marLeft w:val="0"/>
      <w:marRight w:val="0"/>
      <w:marTop w:val="0"/>
      <w:marBottom w:val="0"/>
      <w:divBdr>
        <w:top w:val="none" w:sz="0" w:space="0" w:color="auto"/>
        <w:left w:val="none" w:sz="0" w:space="0" w:color="auto"/>
        <w:bottom w:val="none" w:sz="0" w:space="0" w:color="auto"/>
        <w:right w:val="none" w:sz="0" w:space="0" w:color="auto"/>
      </w:divBdr>
    </w:div>
    <w:div w:id="106588005">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19156362">
      <w:bodyDiv w:val="1"/>
      <w:marLeft w:val="0"/>
      <w:marRight w:val="0"/>
      <w:marTop w:val="0"/>
      <w:marBottom w:val="0"/>
      <w:divBdr>
        <w:top w:val="none" w:sz="0" w:space="0" w:color="auto"/>
        <w:left w:val="none" w:sz="0" w:space="0" w:color="auto"/>
        <w:bottom w:val="none" w:sz="0" w:space="0" w:color="auto"/>
        <w:right w:val="none" w:sz="0" w:space="0" w:color="auto"/>
      </w:divBdr>
    </w:div>
    <w:div w:id="120655911">
      <w:bodyDiv w:val="1"/>
      <w:marLeft w:val="0"/>
      <w:marRight w:val="0"/>
      <w:marTop w:val="0"/>
      <w:marBottom w:val="0"/>
      <w:divBdr>
        <w:top w:val="none" w:sz="0" w:space="0" w:color="auto"/>
        <w:left w:val="none" w:sz="0" w:space="0" w:color="auto"/>
        <w:bottom w:val="none" w:sz="0" w:space="0" w:color="auto"/>
        <w:right w:val="none" w:sz="0" w:space="0" w:color="auto"/>
      </w:divBdr>
    </w:div>
    <w:div w:id="124783421">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0750124">
      <w:bodyDiv w:val="1"/>
      <w:marLeft w:val="0"/>
      <w:marRight w:val="0"/>
      <w:marTop w:val="0"/>
      <w:marBottom w:val="0"/>
      <w:divBdr>
        <w:top w:val="none" w:sz="0" w:space="0" w:color="auto"/>
        <w:left w:val="none" w:sz="0" w:space="0" w:color="auto"/>
        <w:bottom w:val="none" w:sz="0" w:space="0" w:color="auto"/>
        <w:right w:val="none" w:sz="0" w:space="0" w:color="auto"/>
      </w:divBdr>
    </w:div>
    <w:div w:id="135027278">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2746152">
      <w:bodyDiv w:val="1"/>
      <w:marLeft w:val="0"/>
      <w:marRight w:val="0"/>
      <w:marTop w:val="0"/>
      <w:marBottom w:val="0"/>
      <w:divBdr>
        <w:top w:val="none" w:sz="0" w:space="0" w:color="auto"/>
        <w:left w:val="none" w:sz="0" w:space="0" w:color="auto"/>
        <w:bottom w:val="none" w:sz="0" w:space="0" w:color="auto"/>
        <w:right w:val="none" w:sz="0" w:space="0" w:color="auto"/>
      </w:divBdr>
    </w:div>
    <w:div w:id="145318485">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4687397">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23047">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72380804">
      <w:bodyDiv w:val="1"/>
      <w:marLeft w:val="0"/>
      <w:marRight w:val="0"/>
      <w:marTop w:val="0"/>
      <w:marBottom w:val="0"/>
      <w:divBdr>
        <w:top w:val="none" w:sz="0" w:space="0" w:color="auto"/>
        <w:left w:val="none" w:sz="0" w:space="0" w:color="auto"/>
        <w:bottom w:val="none" w:sz="0" w:space="0" w:color="auto"/>
        <w:right w:val="none" w:sz="0" w:space="0" w:color="auto"/>
      </w:divBdr>
    </w:div>
    <w:div w:id="177894803">
      <w:bodyDiv w:val="1"/>
      <w:marLeft w:val="0"/>
      <w:marRight w:val="0"/>
      <w:marTop w:val="0"/>
      <w:marBottom w:val="0"/>
      <w:divBdr>
        <w:top w:val="none" w:sz="0" w:space="0" w:color="auto"/>
        <w:left w:val="none" w:sz="0" w:space="0" w:color="auto"/>
        <w:bottom w:val="none" w:sz="0" w:space="0" w:color="auto"/>
        <w:right w:val="none" w:sz="0" w:space="0" w:color="auto"/>
      </w:divBdr>
    </w:div>
    <w:div w:id="180704409">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192307908">
      <w:bodyDiv w:val="1"/>
      <w:marLeft w:val="0"/>
      <w:marRight w:val="0"/>
      <w:marTop w:val="0"/>
      <w:marBottom w:val="0"/>
      <w:divBdr>
        <w:top w:val="none" w:sz="0" w:space="0" w:color="auto"/>
        <w:left w:val="none" w:sz="0" w:space="0" w:color="auto"/>
        <w:bottom w:val="none" w:sz="0" w:space="0" w:color="auto"/>
        <w:right w:val="none" w:sz="0" w:space="0" w:color="auto"/>
      </w:divBdr>
    </w:div>
    <w:div w:id="201987064">
      <w:bodyDiv w:val="1"/>
      <w:marLeft w:val="0"/>
      <w:marRight w:val="0"/>
      <w:marTop w:val="0"/>
      <w:marBottom w:val="0"/>
      <w:divBdr>
        <w:top w:val="none" w:sz="0" w:space="0" w:color="auto"/>
        <w:left w:val="none" w:sz="0" w:space="0" w:color="auto"/>
        <w:bottom w:val="none" w:sz="0" w:space="0" w:color="auto"/>
        <w:right w:val="none" w:sz="0" w:space="0" w:color="auto"/>
      </w:divBdr>
    </w:div>
    <w:div w:id="206332297">
      <w:bodyDiv w:val="1"/>
      <w:marLeft w:val="0"/>
      <w:marRight w:val="0"/>
      <w:marTop w:val="0"/>
      <w:marBottom w:val="0"/>
      <w:divBdr>
        <w:top w:val="none" w:sz="0" w:space="0" w:color="auto"/>
        <w:left w:val="none" w:sz="0" w:space="0" w:color="auto"/>
        <w:bottom w:val="none" w:sz="0" w:space="0" w:color="auto"/>
        <w:right w:val="none" w:sz="0" w:space="0" w:color="auto"/>
      </w:divBdr>
    </w:div>
    <w:div w:id="210659066">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19750758">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0678869">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27082245">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4262077">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1472018">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137939">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6767250">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3704962">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0695611">
      <w:bodyDiv w:val="1"/>
      <w:marLeft w:val="0"/>
      <w:marRight w:val="0"/>
      <w:marTop w:val="0"/>
      <w:marBottom w:val="0"/>
      <w:divBdr>
        <w:top w:val="none" w:sz="0" w:space="0" w:color="auto"/>
        <w:left w:val="none" w:sz="0" w:space="0" w:color="auto"/>
        <w:bottom w:val="none" w:sz="0" w:space="0" w:color="auto"/>
        <w:right w:val="none" w:sz="0" w:space="0" w:color="auto"/>
      </w:divBdr>
    </w:div>
    <w:div w:id="321741382">
      <w:bodyDiv w:val="1"/>
      <w:marLeft w:val="0"/>
      <w:marRight w:val="0"/>
      <w:marTop w:val="0"/>
      <w:marBottom w:val="0"/>
      <w:divBdr>
        <w:top w:val="none" w:sz="0" w:space="0" w:color="auto"/>
        <w:left w:val="none" w:sz="0" w:space="0" w:color="auto"/>
        <w:bottom w:val="none" w:sz="0" w:space="0" w:color="auto"/>
        <w:right w:val="none" w:sz="0" w:space="0" w:color="auto"/>
      </w:divBdr>
    </w:div>
    <w:div w:id="325017173">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0650152">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357883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8801157">
      <w:bodyDiv w:val="1"/>
      <w:marLeft w:val="0"/>
      <w:marRight w:val="0"/>
      <w:marTop w:val="0"/>
      <w:marBottom w:val="0"/>
      <w:divBdr>
        <w:top w:val="none" w:sz="0" w:space="0" w:color="auto"/>
        <w:left w:val="none" w:sz="0" w:space="0" w:color="auto"/>
        <w:bottom w:val="none" w:sz="0" w:space="0" w:color="auto"/>
        <w:right w:val="none" w:sz="0" w:space="0" w:color="auto"/>
      </w:divBdr>
    </w:div>
    <w:div w:id="368841370">
      <w:bodyDiv w:val="1"/>
      <w:marLeft w:val="0"/>
      <w:marRight w:val="0"/>
      <w:marTop w:val="0"/>
      <w:marBottom w:val="0"/>
      <w:divBdr>
        <w:top w:val="none" w:sz="0" w:space="0" w:color="auto"/>
        <w:left w:val="none" w:sz="0" w:space="0" w:color="auto"/>
        <w:bottom w:val="none" w:sz="0" w:space="0" w:color="auto"/>
        <w:right w:val="none" w:sz="0" w:space="0" w:color="auto"/>
      </w:divBdr>
    </w:div>
    <w:div w:id="369230782">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85423035">
      <w:bodyDiv w:val="1"/>
      <w:marLeft w:val="0"/>
      <w:marRight w:val="0"/>
      <w:marTop w:val="0"/>
      <w:marBottom w:val="0"/>
      <w:divBdr>
        <w:top w:val="none" w:sz="0" w:space="0" w:color="auto"/>
        <w:left w:val="none" w:sz="0" w:space="0" w:color="auto"/>
        <w:bottom w:val="none" w:sz="0" w:space="0" w:color="auto"/>
        <w:right w:val="none" w:sz="0" w:space="0" w:color="auto"/>
      </w:divBdr>
    </w:div>
    <w:div w:id="389042098">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5612894">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289942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25468405">
      <w:bodyDiv w:val="1"/>
      <w:marLeft w:val="0"/>
      <w:marRight w:val="0"/>
      <w:marTop w:val="0"/>
      <w:marBottom w:val="0"/>
      <w:divBdr>
        <w:top w:val="none" w:sz="0" w:space="0" w:color="auto"/>
        <w:left w:val="none" w:sz="0" w:space="0" w:color="auto"/>
        <w:bottom w:val="none" w:sz="0" w:space="0" w:color="auto"/>
        <w:right w:val="none" w:sz="0" w:space="0" w:color="auto"/>
      </w:divBdr>
    </w:div>
    <w:div w:id="426972554">
      <w:bodyDiv w:val="1"/>
      <w:marLeft w:val="0"/>
      <w:marRight w:val="0"/>
      <w:marTop w:val="0"/>
      <w:marBottom w:val="0"/>
      <w:divBdr>
        <w:top w:val="none" w:sz="0" w:space="0" w:color="auto"/>
        <w:left w:val="none" w:sz="0" w:space="0" w:color="auto"/>
        <w:bottom w:val="none" w:sz="0" w:space="0" w:color="auto"/>
        <w:right w:val="none" w:sz="0" w:space="0" w:color="auto"/>
      </w:divBdr>
    </w:div>
    <w:div w:id="432360594">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4717232">
      <w:bodyDiv w:val="1"/>
      <w:marLeft w:val="0"/>
      <w:marRight w:val="0"/>
      <w:marTop w:val="0"/>
      <w:marBottom w:val="0"/>
      <w:divBdr>
        <w:top w:val="none" w:sz="0" w:space="0" w:color="auto"/>
        <w:left w:val="none" w:sz="0" w:space="0" w:color="auto"/>
        <w:bottom w:val="none" w:sz="0" w:space="0" w:color="auto"/>
        <w:right w:val="none" w:sz="0" w:space="0" w:color="auto"/>
      </w:divBdr>
    </w:div>
    <w:div w:id="435176365">
      <w:bodyDiv w:val="1"/>
      <w:marLeft w:val="0"/>
      <w:marRight w:val="0"/>
      <w:marTop w:val="0"/>
      <w:marBottom w:val="0"/>
      <w:divBdr>
        <w:top w:val="none" w:sz="0" w:space="0" w:color="auto"/>
        <w:left w:val="none" w:sz="0" w:space="0" w:color="auto"/>
        <w:bottom w:val="none" w:sz="0" w:space="0" w:color="auto"/>
        <w:right w:val="none" w:sz="0" w:space="0" w:color="auto"/>
      </w:divBdr>
    </w:div>
    <w:div w:id="436752573">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03588821">
      <w:bodyDiv w:val="1"/>
      <w:marLeft w:val="0"/>
      <w:marRight w:val="0"/>
      <w:marTop w:val="0"/>
      <w:marBottom w:val="0"/>
      <w:divBdr>
        <w:top w:val="none" w:sz="0" w:space="0" w:color="auto"/>
        <w:left w:val="none" w:sz="0" w:space="0" w:color="auto"/>
        <w:bottom w:val="none" w:sz="0" w:space="0" w:color="auto"/>
        <w:right w:val="none" w:sz="0" w:space="0" w:color="auto"/>
      </w:divBdr>
    </w:div>
    <w:div w:id="51335046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115886">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425265">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52545043">
      <w:bodyDiv w:val="1"/>
      <w:marLeft w:val="0"/>
      <w:marRight w:val="0"/>
      <w:marTop w:val="0"/>
      <w:marBottom w:val="0"/>
      <w:divBdr>
        <w:top w:val="none" w:sz="0" w:space="0" w:color="auto"/>
        <w:left w:val="none" w:sz="0" w:space="0" w:color="auto"/>
        <w:bottom w:val="none" w:sz="0" w:space="0" w:color="auto"/>
        <w:right w:val="none" w:sz="0" w:space="0" w:color="auto"/>
      </w:divBdr>
    </w:div>
    <w:div w:id="555892471">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310370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11564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4248459">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630375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0163214">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000253">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17377904">
      <w:bodyDiv w:val="1"/>
      <w:marLeft w:val="0"/>
      <w:marRight w:val="0"/>
      <w:marTop w:val="0"/>
      <w:marBottom w:val="0"/>
      <w:divBdr>
        <w:top w:val="none" w:sz="0" w:space="0" w:color="auto"/>
        <w:left w:val="none" w:sz="0" w:space="0" w:color="auto"/>
        <w:bottom w:val="none" w:sz="0" w:space="0" w:color="auto"/>
        <w:right w:val="none" w:sz="0" w:space="0" w:color="auto"/>
      </w:divBdr>
    </w:div>
    <w:div w:id="620451948">
      <w:bodyDiv w:val="1"/>
      <w:marLeft w:val="0"/>
      <w:marRight w:val="0"/>
      <w:marTop w:val="0"/>
      <w:marBottom w:val="0"/>
      <w:divBdr>
        <w:top w:val="none" w:sz="0" w:space="0" w:color="auto"/>
        <w:left w:val="none" w:sz="0" w:space="0" w:color="auto"/>
        <w:bottom w:val="none" w:sz="0" w:space="0" w:color="auto"/>
        <w:right w:val="none" w:sz="0" w:space="0" w:color="auto"/>
      </w:divBdr>
    </w:div>
    <w:div w:id="620692435">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27469517">
      <w:bodyDiv w:val="1"/>
      <w:marLeft w:val="0"/>
      <w:marRight w:val="0"/>
      <w:marTop w:val="0"/>
      <w:marBottom w:val="0"/>
      <w:divBdr>
        <w:top w:val="none" w:sz="0" w:space="0" w:color="auto"/>
        <w:left w:val="none" w:sz="0" w:space="0" w:color="auto"/>
        <w:bottom w:val="none" w:sz="0" w:space="0" w:color="auto"/>
        <w:right w:val="none" w:sz="0" w:space="0" w:color="auto"/>
      </w:divBdr>
    </w:div>
    <w:div w:id="631637443">
      <w:bodyDiv w:val="1"/>
      <w:marLeft w:val="0"/>
      <w:marRight w:val="0"/>
      <w:marTop w:val="0"/>
      <w:marBottom w:val="0"/>
      <w:divBdr>
        <w:top w:val="none" w:sz="0" w:space="0" w:color="auto"/>
        <w:left w:val="none" w:sz="0" w:space="0" w:color="auto"/>
        <w:bottom w:val="none" w:sz="0" w:space="0" w:color="auto"/>
        <w:right w:val="none" w:sz="0" w:space="0" w:color="auto"/>
      </w:divBdr>
    </w:div>
    <w:div w:id="634793400">
      <w:bodyDiv w:val="1"/>
      <w:marLeft w:val="0"/>
      <w:marRight w:val="0"/>
      <w:marTop w:val="0"/>
      <w:marBottom w:val="0"/>
      <w:divBdr>
        <w:top w:val="none" w:sz="0" w:space="0" w:color="auto"/>
        <w:left w:val="none" w:sz="0" w:space="0" w:color="auto"/>
        <w:bottom w:val="none" w:sz="0" w:space="0" w:color="auto"/>
        <w:right w:val="none" w:sz="0" w:space="0" w:color="auto"/>
      </w:divBdr>
    </w:div>
    <w:div w:id="635372536">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58964831">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688142653">
      <w:bodyDiv w:val="1"/>
      <w:marLeft w:val="0"/>
      <w:marRight w:val="0"/>
      <w:marTop w:val="0"/>
      <w:marBottom w:val="0"/>
      <w:divBdr>
        <w:top w:val="none" w:sz="0" w:space="0" w:color="auto"/>
        <w:left w:val="none" w:sz="0" w:space="0" w:color="auto"/>
        <w:bottom w:val="none" w:sz="0" w:space="0" w:color="auto"/>
        <w:right w:val="none" w:sz="0" w:space="0" w:color="auto"/>
      </w:divBdr>
    </w:div>
    <w:div w:id="704914203">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853934">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770523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7458578">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0755850">
      <w:bodyDiv w:val="1"/>
      <w:marLeft w:val="0"/>
      <w:marRight w:val="0"/>
      <w:marTop w:val="0"/>
      <w:marBottom w:val="0"/>
      <w:divBdr>
        <w:top w:val="none" w:sz="0" w:space="0" w:color="auto"/>
        <w:left w:val="none" w:sz="0" w:space="0" w:color="auto"/>
        <w:bottom w:val="none" w:sz="0" w:space="0" w:color="auto"/>
        <w:right w:val="none" w:sz="0" w:space="0" w:color="auto"/>
      </w:divBdr>
    </w:div>
    <w:div w:id="742727420">
      <w:bodyDiv w:val="1"/>
      <w:marLeft w:val="0"/>
      <w:marRight w:val="0"/>
      <w:marTop w:val="0"/>
      <w:marBottom w:val="0"/>
      <w:divBdr>
        <w:top w:val="none" w:sz="0" w:space="0" w:color="auto"/>
        <w:left w:val="none" w:sz="0" w:space="0" w:color="auto"/>
        <w:bottom w:val="none" w:sz="0" w:space="0" w:color="auto"/>
        <w:right w:val="none" w:sz="0" w:space="0" w:color="auto"/>
      </w:divBdr>
    </w:div>
    <w:div w:id="744953347">
      <w:bodyDiv w:val="1"/>
      <w:marLeft w:val="0"/>
      <w:marRight w:val="0"/>
      <w:marTop w:val="0"/>
      <w:marBottom w:val="0"/>
      <w:divBdr>
        <w:top w:val="none" w:sz="0" w:space="0" w:color="auto"/>
        <w:left w:val="none" w:sz="0" w:space="0" w:color="auto"/>
        <w:bottom w:val="none" w:sz="0" w:space="0" w:color="auto"/>
        <w:right w:val="none" w:sz="0" w:space="0" w:color="auto"/>
      </w:divBdr>
    </w:div>
    <w:div w:id="748231189">
      <w:bodyDiv w:val="1"/>
      <w:marLeft w:val="0"/>
      <w:marRight w:val="0"/>
      <w:marTop w:val="0"/>
      <w:marBottom w:val="0"/>
      <w:divBdr>
        <w:top w:val="none" w:sz="0" w:space="0" w:color="auto"/>
        <w:left w:val="none" w:sz="0" w:space="0" w:color="auto"/>
        <w:bottom w:val="none" w:sz="0" w:space="0" w:color="auto"/>
        <w:right w:val="none" w:sz="0" w:space="0" w:color="auto"/>
      </w:divBdr>
    </w:div>
    <w:div w:id="749425735">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57824269">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65929939">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1531292">
      <w:bodyDiv w:val="1"/>
      <w:marLeft w:val="0"/>
      <w:marRight w:val="0"/>
      <w:marTop w:val="0"/>
      <w:marBottom w:val="0"/>
      <w:divBdr>
        <w:top w:val="none" w:sz="0" w:space="0" w:color="auto"/>
        <w:left w:val="none" w:sz="0" w:space="0" w:color="auto"/>
        <w:bottom w:val="none" w:sz="0" w:space="0" w:color="auto"/>
        <w:right w:val="none" w:sz="0" w:space="0" w:color="auto"/>
      </w:divBdr>
    </w:div>
    <w:div w:id="783623437">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7822844">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16072687">
      <w:bodyDiv w:val="1"/>
      <w:marLeft w:val="0"/>
      <w:marRight w:val="0"/>
      <w:marTop w:val="0"/>
      <w:marBottom w:val="0"/>
      <w:divBdr>
        <w:top w:val="none" w:sz="0" w:space="0" w:color="auto"/>
        <w:left w:val="none" w:sz="0" w:space="0" w:color="auto"/>
        <w:bottom w:val="none" w:sz="0" w:space="0" w:color="auto"/>
        <w:right w:val="none" w:sz="0" w:space="0" w:color="auto"/>
      </w:divBdr>
    </w:div>
    <w:div w:id="830295693">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2263228">
      <w:bodyDiv w:val="1"/>
      <w:marLeft w:val="0"/>
      <w:marRight w:val="0"/>
      <w:marTop w:val="0"/>
      <w:marBottom w:val="0"/>
      <w:divBdr>
        <w:top w:val="none" w:sz="0" w:space="0" w:color="auto"/>
        <w:left w:val="none" w:sz="0" w:space="0" w:color="auto"/>
        <w:bottom w:val="none" w:sz="0" w:space="0" w:color="auto"/>
        <w:right w:val="none" w:sz="0" w:space="0" w:color="auto"/>
      </w:divBdr>
    </w:div>
    <w:div w:id="838302549">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0485683">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59508133">
      <w:bodyDiv w:val="1"/>
      <w:marLeft w:val="0"/>
      <w:marRight w:val="0"/>
      <w:marTop w:val="0"/>
      <w:marBottom w:val="0"/>
      <w:divBdr>
        <w:top w:val="none" w:sz="0" w:space="0" w:color="auto"/>
        <w:left w:val="none" w:sz="0" w:space="0" w:color="auto"/>
        <w:bottom w:val="none" w:sz="0" w:space="0" w:color="auto"/>
        <w:right w:val="none" w:sz="0" w:space="0" w:color="auto"/>
      </w:divBdr>
    </w:div>
    <w:div w:id="860702090">
      <w:bodyDiv w:val="1"/>
      <w:marLeft w:val="0"/>
      <w:marRight w:val="0"/>
      <w:marTop w:val="0"/>
      <w:marBottom w:val="0"/>
      <w:divBdr>
        <w:top w:val="none" w:sz="0" w:space="0" w:color="auto"/>
        <w:left w:val="none" w:sz="0" w:space="0" w:color="auto"/>
        <w:bottom w:val="none" w:sz="0" w:space="0" w:color="auto"/>
        <w:right w:val="none" w:sz="0" w:space="0" w:color="auto"/>
      </w:divBdr>
    </w:div>
    <w:div w:id="863639534">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79054129">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4636238">
      <w:bodyDiv w:val="1"/>
      <w:marLeft w:val="0"/>
      <w:marRight w:val="0"/>
      <w:marTop w:val="0"/>
      <w:marBottom w:val="0"/>
      <w:divBdr>
        <w:top w:val="none" w:sz="0" w:space="0" w:color="auto"/>
        <w:left w:val="none" w:sz="0" w:space="0" w:color="auto"/>
        <w:bottom w:val="none" w:sz="0" w:space="0" w:color="auto"/>
        <w:right w:val="none" w:sz="0" w:space="0" w:color="auto"/>
      </w:divBdr>
    </w:div>
    <w:div w:id="885604645">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8147445">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899906009">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07610431">
      <w:bodyDiv w:val="1"/>
      <w:marLeft w:val="0"/>
      <w:marRight w:val="0"/>
      <w:marTop w:val="0"/>
      <w:marBottom w:val="0"/>
      <w:divBdr>
        <w:top w:val="none" w:sz="0" w:space="0" w:color="auto"/>
        <w:left w:val="none" w:sz="0" w:space="0" w:color="auto"/>
        <w:bottom w:val="none" w:sz="0" w:space="0" w:color="auto"/>
        <w:right w:val="none" w:sz="0" w:space="0" w:color="auto"/>
      </w:divBdr>
    </w:div>
    <w:div w:id="908882571">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48858969">
      <w:bodyDiv w:val="1"/>
      <w:marLeft w:val="0"/>
      <w:marRight w:val="0"/>
      <w:marTop w:val="0"/>
      <w:marBottom w:val="0"/>
      <w:divBdr>
        <w:top w:val="none" w:sz="0" w:space="0" w:color="auto"/>
        <w:left w:val="none" w:sz="0" w:space="0" w:color="auto"/>
        <w:bottom w:val="none" w:sz="0" w:space="0" w:color="auto"/>
        <w:right w:val="none" w:sz="0" w:space="0" w:color="auto"/>
      </w:divBdr>
    </w:div>
    <w:div w:id="949892651">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475500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71252008">
      <w:bodyDiv w:val="1"/>
      <w:marLeft w:val="0"/>
      <w:marRight w:val="0"/>
      <w:marTop w:val="0"/>
      <w:marBottom w:val="0"/>
      <w:divBdr>
        <w:top w:val="none" w:sz="0" w:space="0" w:color="auto"/>
        <w:left w:val="none" w:sz="0" w:space="0" w:color="auto"/>
        <w:bottom w:val="none" w:sz="0" w:space="0" w:color="auto"/>
        <w:right w:val="none" w:sz="0" w:space="0" w:color="auto"/>
      </w:divBdr>
    </w:div>
    <w:div w:id="972755177">
      <w:bodyDiv w:val="1"/>
      <w:marLeft w:val="0"/>
      <w:marRight w:val="0"/>
      <w:marTop w:val="0"/>
      <w:marBottom w:val="0"/>
      <w:divBdr>
        <w:top w:val="none" w:sz="0" w:space="0" w:color="auto"/>
        <w:left w:val="none" w:sz="0" w:space="0" w:color="auto"/>
        <w:bottom w:val="none" w:sz="0" w:space="0" w:color="auto"/>
        <w:right w:val="none" w:sz="0" w:space="0" w:color="auto"/>
      </w:divBdr>
    </w:div>
    <w:div w:id="979458410">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88020779">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6706714">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29334538">
      <w:bodyDiv w:val="1"/>
      <w:marLeft w:val="0"/>
      <w:marRight w:val="0"/>
      <w:marTop w:val="0"/>
      <w:marBottom w:val="0"/>
      <w:divBdr>
        <w:top w:val="none" w:sz="0" w:space="0" w:color="auto"/>
        <w:left w:val="none" w:sz="0" w:space="0" w:color="auto"/>
        <w:bottom w:val="none" w:sz="0" w:space="0" w:color="auto"/>
        <w:right w:val="none" w:sz="0" w:space="0" w:color="auto"/>
      </w:divBdr>
    </w:div>
    <w:div w:id="103068924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8235733">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40974338">
      <w:bodyDiv w:val="1"/>
      <w:marLeft w:val="0"/>
      <w:marRight w:val="0"/>
      <w:marTop w:val="0"/>
      <w:marBottom w:val="0"/>
      <w:divBdr>
        <w:top w:val="none" w:sz="0" w:space="0" w:color="auto"/>
        <w:left w:val="none" w:sz="0" w:space="0" w:color="auto"/>
        <w:bottom w:val="none" w:sz="0" w:space="0" w:color="auto"/>
        <w:right w:val="none" w:sz="0" w:space="0" w:color="auto"/>
      </w:divBdr>
    </w:div>
    <w:div w:id="1043136867">
      <w:bodyDiv w:val="1"/>
      <w:marLeft w:val="0"/>
      <w:marRight w:val="0"/>
      <w:marTop w:val="0"/>
      <w:marBottom w:val="0"/>
      <w:divBdr>
        <w:top w:val="none" w:sz="0" w:space="0" w:color="auto"/>
        <w:left w:val="none" w:sz="0" w:space="0" w:color="auto"/>
        <w:bottom w:val="none" w:sz="0" w:space="0" w:color="auto"/>
        <w:right w:val="none" w:sz="0" w:space="0" w:color="auto"/>
      </w:divBdr>
    </w:div>
    <w:div w:id="1046831615">
      <w:bodyDiv w:val="1"/>
      <w:marLeft w:val="0"/>
      <w:marRight w:val="0"/>
      <w:marTop w:val="0"/>
      <w:marBottom w:val="0"/>
      <w:divBdr>
        <w:top w:val="none" w:sz="0" w:space="0" w:color="auto"/>
        <w:left w:val="none" w:sz="0" w:space="0" w:color="auto"/>
        <w:bottom w:val="none" w:sz="0" w:space="0" w:color="auto"/>
        <w:right w:val="none" w:sz="0" w:space="0" w:color="auto"/>
      </w:divBdr>
    </w:div>
    <w:div w:id="104984067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4838593">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0158698">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079523875">
      <w:bodyDiv w:val="1"/>
      <w:marLeft w:val="0"/>
      <w:marRight w:val="0"/>
      <w:marTop w:val="0"/>
      <w:marBottom w:val="0"/>
      <w:divBdr>
        <w:top w:val="none" w:sz="0" w:space="0" w:color="auto"/>
        <w:left w:val="none" w:sz="0" w:space="0" w:color="auto"/>
        <w:bottom w:val="none" w:sz="0" w:space="0" w:color="auto"/>
        <w:right w:val="none" w:sz="0" w:space="0" w:color="auto"/>
      </w:divBdr>
    </w:div>
    <w:div w:id="1089699283">
      <w:bodyDiv w:val="1"/>
      <w:marLeft w:val="0"/>
      <w:marRight w:val="0"/>
      <w:marTop w:val="0"/>
      <w:marBottom w:val="0"/>
      <w:divBdr>
        <w:top w:val="none" w:sz="0" w:space="0" w:color="auto"/>
        <w:left w:val="none" w:sz="0" w:space="0" w:color="auto"/>
        <w:bottom w:val="none" w:sz="0" w:space="0" w:color="auto"/>
        <w:right w:val="none" w:sz="0" w:space="0" w:color="auto"/>
      </w:divBdr>
    </w:div>
    <w:div w:id="1098212460">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8622720">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0472264">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469581">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27913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1576478">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46969249">
      <w:bodyDiv w:val="1"/>
      <w:marLeft w:val="0"/>
      <w:marRight w:val="0"/>
      <w:marTop w:val="0"/>
      <w:marBottom w:val="0"/>
      <w:divBdr>
        <w:top w:val="none" w:sz="0" w:space="0" w:color="auto"/>
        <w:left w:val="none" w:sz="0" w:space="0" w:color="auto"/>
        <w:bottom w:val="none" w:sz="0" w:space="0" w:color="auto"/>
        <w:right w:val="none" w:sz="0" w:space="0" w:color="auto"/>
      </w:divBdr>
    </w:div>
    <w:div w:id="1150289338">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67551046">
      <w:bodyDiv w:val="1"/>
      <w:marLeft w:val="0"/>
      <w:marRight w:val="0"/>
      <w:marTop w:val="0"/>
      <w:marBottom w:val="0"/>
      <w:divBdr>
        <w:top w:val="none" w:sz="0" w:space="0" w:color="auto"/>
        <w:left w:val="none" w:sz="0" w:space="0" w:color="auto"/>
        <w:bottom w:val="none" w:sz="0" w:space="0" w:color="auto"/>
        <w:right w:val="none" w:sz="0" w:space="0" w:color="auto"/>
      </w:divBdr>
    </w:div>
    <w:div w:id="1171792454">
      <w:bodyDiv w:val="1"/>
      <w:marLeft w:val="0"/>
      <w:marRight w:val="0"/>
      <w:marTop w:val="0"/>
      <w:marBottom w:val="0"/>
      <w:divBdr>
        <w:top w:val="none" w:sz="0" w:space="0" w:color="auto"/>
        <w:left w:val="none" w:sz="0" w:space="0" w:color="auto"/>
        <w:bottom w:val="none" w:sz="0" w:space="0" w:color="auto"/>
        <w:right w:val="none" w:sz="0" w:space="0" w:color="auto"/>
      </w:divBdr>
    </w:div>
    <w:div w:id="1173107650">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86015107">
      <w:bodyDiv w:val="1"/>
      <w:marLeft w:val="0"/>
      <w:marRight w:val="0"/>
      <w:marTop w:val="0"/>
      <w:marBottom w:val="0"/>
      <w:divBdr>
        <w:top w:val="none" w:sz="0" w:space="0" w:color="auto"/>
        <w:left w:val="none" w:sz="0" w:space="0" w:color="auto"/>
        <w:bottom w:val="none" w:sz="0" w:space="0" w:color="auto"/>
        <w:right w:val="none" w:sz="0" w:space="0" w:color="auto"/>
      </w:divBdr>
    </w:div>
    <w:div w:id="1187058811">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192381629">
      <w:bodyDiv w:val="1"/>
      <w:marLeft w:val="0"/>
      <w:marRight w:val="0"/>
      <w:marTop w:val="0"/>
      <w:marBottom w:val="0"/>
      <w:divBdr>
        <w:top w:val="none" w:sz="0" w:space="0" w:color="auto"/>
        <w:left w:val="none" w:sz="0" w:space="0" w:color="auto"/>
        <w:bottom w:val="none" w:sz="0" w:space="0" w:color="auto"/>
        <w:right w:val="none" w:sz="0" w:space="0" w:color="auto"/>
      </w:divBdr>
    </w:div>
    <w:div w:id="1194491657">
      <w:bodyDiv w:val="1"/>
      <w:marLeft w:val="0"/>
      <w:marRight w:val="0"/>
      <w:marTop w:val="0"/>
      <w:marBottom w:val="0"/>
      <w:divBdr>
        <w:top w:val="none" w:sz="0" w:space="0" w:color="auto"/>
        <w:left w:val="none" w:sz="0" w:space="0" w:color="auto"/>
        <w:bottom w:val="none" w:sz="0" w:space="0" w:color="auto"/>
        <w:right w:val="none" w:sz="0" w:space="0" w:color="auto"/>
      </w:divBdr>
    </w:div>
    <w:div w:id="1201238955">
      <w:bodyDiv w:val="1"/>
      <w:marLeft w:val="0"/>
      <w:marRight w:val="0"/>
      <w:marTop w:val="0"/>
      <w:marBottom w:val="0"/>
      <w:divBdr>
        <w:top w:val="none" w:sz="0" w:space="0" w:color="auto"/>
        <w:left w:val="none" w:sz="0" w:space="0" w:color="auto"/>
        <w:bottom w:val="none" w:sz="0" w:space="0" w:color="auto"/>
        <w:right w:val="none" w:sz="0" w:space="0" w:color="auto"/>
      </w:divBdr>
    </w:div>
    <w:div w:id="1201354601">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0532620">
      <w:bodyDiv w:val="1"/>
      <w:marLeft w:val="0"/>
      <w:marRight w:val="0"/>
      <w:marTop w:val="0"/>
      <w:marBottom w:val="0"/>
      <w:divBdr>
        <w:top w:val="none" w:sz="0" w:space="0" w:color="auto"/>
        <w:left w:val="none" w:sz="0" w:space="0" w:color="auto"/>
        <w:bottom w:val="none" w:sz="0" w:space="0" w:color="auto"/>
        <w:right w:val="none" w:sz="0" w:space="0" w:color="auto"/>
      </w:divBdr>
    </w:div>
    <w:div w:id="1211184916">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2015675">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36552239">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46108690">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88243020">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299412964">
      <w:bodyDiv w:val="1"/>
      <w:marLeft w:val="0"/>
      <w:marRight w:val="0"/>
      <w:marTop w:val="0"/>
      <w:marBottom w:val="0"/>
      <w:divBdr>
        <w:top w:val="none" w:sz="0" w:space="0" w:color="auto"/>
        <w:left w:val="none" w:sz="0" w:space="0" w:color="auto"/>
        <w:bottom w:val="none" w:sz="0" w:space="0" w:color="auto"/>
        <w:right w:val="none" w:sz="0" w:space="0" w:color="auto"/>
      </w:divBdr>
    </w:div>
    <w:div w:id="1303581933">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0786857">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15640904">
      <w:bodyDiv w:val="1"/>
      <w:marLeft w:val="0"/>
      <w:marRight w:val="0"/>
      <w:marTop w:val="0"/>
      <w:marBottom w:val="0"/>
      <w:divBdr>
        <w:top w:val="none" w:sz="0" w:space="0" w:color="auto"/>
        <w:left w:val="none" w:sz="0" w:space="0" w:color="auto"/>
        <w:bottom w:val="none" w:sz="0" w:space="0" w:color="auto"/>
        <w:right w:val="none" w:sz="0" w:space="0" w:color="auto"/>
      </w:divBdr>
    </w:div>
    <w:div w:id="1319965842">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58389569">
      <w:bodyDiv w:val="1"/>
      <w:marLeft w:val="0"/>
      <w:marRight w:val="0"/>
      <w:marTop w:val="0"/>
      <w:marBottom w:val="0"/>
      <w:divBdr>
        <w:top w:val="none" w:sz="0" w:space="0" w:color="auto"/>
        <w:left w:val="none" w:sz="0" w:space="0" w:color="auto"/>
        <w:bottom w:val="none" w:sz="0" w:space="0" w:color="auto"/>
        <w:right w:val="none" w:sz="0" w:space="0" w:color="auto"/>
      </w:divBdr>
    </w:div>
    <w:div w:id="1359546212">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378161614">
      <w:bodyDiv w:val="1"/>
      <w:marLeft w:val="0"/>
      <w:marRight w:val="0"/>
      <w:marTop w:val="0"/>
      <w:marBottom w:val="0"/>
      <w:divBdr>
        <w:top w:val="none" w:sz="0" w:space="0" w:color="auto"/>
        <w:left w:val="none" w:sz="0" w:space="0" w:color="auto"/>
        <w:bottom w:val="none" w:sz="0" w:space="0" w:color="auto"/>
        <w:right w:val="none" w:sz="0" w:space="0" w:color="auto"/>
      </w:divBdr>
    </w:div>
    <w:div w:id="1381826805">
      <w:bodyDiv w:val="1"/>
      <w:marLeft w:val="0"/>
      <w:marRight w:val="0"/>
      <w:marTop w:val="0"/>
      <w:marBottom w:val="0"/>
      <w:divBdr>
        <w:top w:val="none" w:sz="0" w:space="0" w:color="auto"/>
        <w:left w:val="none" w:sz="0" w:space="0" w:color="auto"/>
        <w:bottom w:val="none" w:sz="0" w:space="0" w:color="auto"/>
        <w:right w:val="none" w:sz="0" w:space="0" w:color="auto"/>
      </w:divBdr>
    </w:div>
    <w:div w:id="1385834110">
      <w:bodyDiv w:val="1"/>
      <w:marLeft w:val="0"/>
      <w:marRight w:val="0"/>
      <w:marTop w:val="0"/>
      <w:marBottom w:val="0"/>
      <w:divBdr>
        <w:top w:val="none" w:sz="0" w:space="0" w:color="auto"/>
        <w:left w:val="none" w:sz="0" w:space="0" w:color="auto"/>
        <w:bottom w:val="none" w:sz="0" w:space="0" w:color="auto"/>
        <w:right w:val="none" w:sz="0" w:space="0" w:color="auto"/>
      </w:divBdr>
    </w:div>
    <w:div w:id="1392844534">
      <w:bodyDiv w:val="1"/>
      <w:marLeft w:val="0"/>
      <w:marRight w:val="0"/>
      <w:marTop w:val="0"/>
      <w:marBottom w:val="0"/>
      <w:divBdr>
        <w:top w:val="none" w:sz="0" w:space="0" w:color="auto"/>
        <w:left w:val="none" w:sz="0" w:space="0" w:color="auto"/>
        <w:bottom w:val="none" w:sz="0" w:space="0" w:color="auto"/>
        <w:right w:val="none" w:sz="0" w:space="0" w:color="auto"/>
      </w:divBdr>
    </w:div>
    <w:div w:id="1401708174">
      <w:bodyDiv w:val="1"/>
      <w:marLeft w:val="0"/>
      <w:marRight w:val="0"/>
      <w:marTop w:val="0"/>
      <w:marBottom w:val="0"/>
      <w:divBdr>
        <w:top w:val="none" w:sz="0" w:space="0" w:color="auto"/>
        <w:left w:val="none" w:sz="0" w:space="0" w:color="auto"/>
        <w:bottom w:val="none" w:sz="0" w:space="0" w:color="auto"/>
        <w:right w:val="none" w:sz="0" w:space="0" w:color="auto"/>
      </w:divBdr>
    </w:div>
    <w:div w:id="1404717854">
      <w:bodyDiv w:val="1"/>
      <w:marLeft w:val="0"/>
      <w:marRight w:val="0"/>
      <w:marTop w:val="0"/>
      <w:marBottom w:val="0"/>
      <w:divBdr>
        <w:top w:val="none" w:sz="0" w:space="0" w:color="auto"/>
        <w:left w:val="none" w:sz="0" w:space="0" w:color="auto"/>
        <w:bottom w:val="none" w:sz="0" w:space="0" w:color="auto"/>
        <w:right w:val="none" w:sz="0" w:space="0" w:color="auto"/>
      </w:divBdr>
    </w:div>
    <w:div w:id="1406798678">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17242002">
      <w:bodyDiv w:val="1"/>
      <w:marLeft w:val="0"/>
      <w:marRight w:val="0"/>
      <w:marTop w:val="0"/>
      <w:marBottom w:val="0"/>
      <w:divBdr>
        <w:top w:val="none" w:sz="0" w:space="0" w:color="auto"/>
        <w:left w:val="none" w:sz="0" w:space="0" w:color="auto"/>
        <w:bottom w:val="none" w:sz="0" w:space="0" w:color="auto"/>
        <w:right w:val="none" w:sz="0" w:space="0" w:color="auto"/>
      </w:divBdr>
    </w:div>
    <w:div w:id="1418408667">
      <w:bodyDiv w:val="1"/>
      <w:marLeft w:val="0"/>
      <w:marRight w:val="0"/>
      <w:marTop w:val="0"/>
      <w:marBottom w:val="0"/>
      <w:divBdr>
        <w:top w:val="none" w:sz="0" w:space="0" w:color="auto"/>
        <w:left w:val="none" w:sz="0" w:space="0" w:color="auto"/>
        <w:bottom w:val="none" w:sz="0" w:space="0" w:color="auto"/>
        <w:right w:val="none" w:sz="0" w:space="0" w:color="auto"/>
      </w:divBdr>
    </w:div>
    <w:div w:id="1422488687">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26727727">
      <w:bodyDiv w:val="1"/>
      <w:marLeft w:val="0"/>
      <w:marRight w:val="0"/>
      <w:marTop w:val="0"/>
      <w:marBottom w:val="0"/>
      <w:divBdr>
        <w:top w:val="none" w:sz="0" w:space="0" w:color="auto"/>
        <w:left w:val="none" w:sz="0" w:space="0" w:color="auto"/>
        <w:bottom w:val="none" w:sz="0" w:space="0" w:color="auto"/>
        <w:right w:val="none" w:sz="0" w:space="0" w:color="auto"/>
      </w:divBdr>
    </w:div>
    <w:div w:id="1426875769">
      <w:bodyDiv w:val="1"/>
      <w:marLeft w:val="0"/>
      <w:marRight w:val="0"/>
      <w:marTop w:val="0"/>
      <w:marBottom w:val="0"/>
      <w:divBdr>
        <w:top w:val="none" w:sz="0" w:space="0" w:color="auto"/>
        <w:left w:val="none" w:sz="0" w:space="0" w:color="auto"/>
        <w:bottom w:val="none" w:sz="0" w:space="0" w:color="auto"/>
        <w:right w:val="none" w:sz="0" w:space="0" w:color="auto"/>
      </w:divBdr>
    </w:div>
    <w:div w:id="1436830633">
      <w:bodyDiv w:val="1"/>
      <w:marLeft w:val="0"/>
      <w:marRight w:val="0"/>
      <w:marTop w:val="0"/>
      <w:marBottom w:val="0"/>
      <w:divBdr>
        <w:top w:val="none" w:sz="0" w:space="0" w:color="auto"/>
        <w:left w:val="none" w:sz="0" w:space="0" w:color="auto"/>
        <w:bottom w:val="none" w:sz="0" w:space="0" w:color="auto"/>
        <w:right w:val="none" w:sz="0" w:space="0" w:color="auto"/>
      </w:divBdr>
    </w:div>
    <w:div w:id="1439568442">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1341114">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48619140">
      <w:bodyDiv w:val="1"/>
      <w:marLeft w:val="0"/>
      <w:marRight w:val="0"/>
      <w:marTop w:val="0"/>
      <w:marBottom w:val="0"/>
      <w:divBdr>
        <w:top w:val="none" w:sz="0" w:space="0" w:color="auto"/>
        <w:left w:val="none" w:sz="0" w:space="0" w:color="auto"/>
        <w:bottom w:val="none" w:sz="0" w:space="0" w:color="auto"/>
        <w:right w:val="none" w:sz="0" w:space="0" w:color="auto"/>
      </w:divBdr>
    </w:div>
    <w:div w:id="1452746323">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60032258">
      <w:bodyDiv w:val="1"/>
      <w:marLeft w:val="0"/>
      <w:marRight w:val="0"/>
      <w:marTop w:val="0"/>
      <w:marBottom w:val="0"/>
      <w:divBdr>
        <w:top w:val="none" w:sz="0" w:space="0" w:color="auto"/>
        <w:left w:val="none" w:sz="0" w:space="0" w:color="auto"/>
        <w:bottom w:val="none" w:sz="0" w:space="0" w:color="auto"/>
        <w:right w:val="none" w:sz="0" w:space="0" w:color="auto"/>
      </w:divBdr>
    </w:div>
    <w:div w:id="1473712973">
      <w:bodyDiv w:val="1"/>
      <w:marLeft w:val="0"/>
      <w:marRight w:val="0"/>
      <w:marTop w:val="0"/>
      <w:marBottom w:val="0"/>
      <w:divBdr>
        <w:top w:val="none" w:sz="0" w:space="0" w:color="auto"/>
        <w:left w:val="none" w:sz="0" w:space="0" w:color="auto"/>
        <w:bottom w:val="none" w:sz="0" w:space="0" w:color="auto"/>
        <w:right w:val="none" w:sz="0" w:space="0" w:color="auto"/>
      </w:divBdr>
    </w:div>
    <w:div w:id="1476145769">
      <w:bodyDiv w:val="1"/>
      <w:marLeft w:val="0"/>
      <w:marRight w:val="0"/>
      <w:marTop w:val="0"/>
      <w:marBottom w:val="0"/>
      <w:divBdr>
        <w:top w:val="none" w:sz="0" w:space="0" w:color="auto"/>
        <w:left w:val="none" w:sz="0" w:space="0" w:color="auto"/>
        <w:bottom w:val="none" w:sz="0" w:space="0" w:color="auto"/>
        <w:right w:val="none" w:sz="0" w:space="0" w:color="auto"/>
      </w:divBdr>
    </w:div>
    <w:div w:id="1476796124">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0458546">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0055657">
      <w:bodyDiv w:val="1"/>
      <w:marLeft w:val="0"/>
      <w:marRight w:val="0"/>
      <w:marTop w:val="0"/>
      <w:marBottom w:val="0"/>
      <w:divBdr>
        <w:top w:val="none" w:sz="0" w:space="0" w:color="auto"/>
        <w:left w:val="none" w:sz="0" w:space="0" w:color="auto"/>
        <w:bottom w:val="none" w:sz="0" w:space="0" w:color="auto"/>
        <w:right w:val="none" w:sz="0" w:space="0" w:color="auto"/>
      </w:divBdr>
    </w:div>
    <w:div w:id="14913684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491749629">
      <w:bodyDiv w:val="1"/>
      <w:marLeft w:val="0"/>
      <w:marRight w:val="0"/>
      <w:marTop w:val="0"/>
      <w:marBottom w:val="0"/>
      <w:divBdr>
        <w:top w:val="none" w:sz="0" w:space="0" w:color="auto"/>
        <w:left w:val="none" w:sz="0" w:space="0" w:color="auto"/>
        <w:bottom w:val="none" w:sz="0" w:space="0" w:color="auto"/>
        <w:right w:val="none" w:sz="0" w:space="0" w:color="auto"/>
      </w:divBdr>
    </w:div>
    <w:div w:id="1499880931">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473677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076748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1145273">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4341859">
      <w:bodyDiv w:val="1"/>
      <w:marLeft w:val="0"/>
      <w:marRight w:val="0"/>
      <w:marTop w:val="0"/>
      <w:marBottom w:val="0"/>
      <w:divBdr>
        <w:top w:val="none" w:sz="0" w:space="0" w:color="auto"/>
        <w:left w:val="none" w:sz="0" w:space="0" w:color="auto"/>
        <w:bottom w:val="none" w:sz="0" w:space="0" w:color="auto"/>
        <w:right w:val="none" w:sz="0" w:space="0" w:color="auto"/>
      </w:divBdr>
    </w:div>
    <w:div w:id="1535843710">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597909125">
      <w:bodyDiv w:val="1"/>
      <w:marLeft w:val="0"/>
      <w:marRight w:val="0"/>
      <w:marTop w:val="0"/>
      <w:marBottom w:val="0"/>
      <w:divBdr>
        <w:top w:val="none" w:sz="0" w:space="0" w:color="auto"/>
        <w:left w:val="none" w:sz="0" w:space="0" w:color="auto"/>
        <w:bottom w:val="none" w:sz="0" w:space="0" w:color="auto"/>
        <w:right w:val="none" w:sz="0" w:space="0" w:color="auto"/>
      </w:divBdr>
    </w:div>
    <w:div w:id="1603800155">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178499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4750044">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10352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49896560">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2267259">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1253999">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2733940">
      <w:bodyDiv w:val="1"/>
      <w:marLeft w:val="0"/>
      <w:marRight w:val="0"/>
      <w:marTop w:val="0"/>
      <w:marBottom w:val="0"/>
      <w:divBdr>
        <w:top w:val="none" w:sz="0" w:space="0" w:color="auto"/>
        <w:left w:val="none" w:sz="0" w:space="0" w:color="auto"/>
        <w:bottom w:val="none" w:sz="0" w:space="0" w:color="auto"/>
        <w:right w:val="none" w:sz="0" w:space="0" w:color="auto"/>
      </w:divBdr>
    </w:div>
    <w:div w:id="1686444402">
      <w:bodyDiv w:val="1"/>
      <w:marLeft w:val="0"/>
      <w:marRight w:val="0"/>
      <w:marTop w:val="0"/>
      <w:marBottom w:val="0"/>
      <w:divBdr>
        <w:top w:val="none" w:sz="0" w:space="0" w:color="auto"/>
        <w:left w:val="none" w:sz="0" w:space="0" w:color="auto"/>
        <w:bottom w:val="none" w:sz="0" w:space="0" w:color="auto"/>
        <w:right w:val="none" w:sz="0" w:space="0" w:color="auto"/>
      </w:divBdr>
    </w:div>
    <w:div w:id="1686862251">
      <w:bodyDiv w:val="1"/>
      <w:marLeft w:val="0"/>
      <w:marRight w:val="0"/>
      <w:marTop w:val="0"/>
      <w:marBottom w:val="0"/>
      <w:divBdr>
        <w:top w:val="none" w:sz="0" w:space="0" w:color="auto"/>
        <w:left w:val="none" w:sz="0" w:space="0" w:color="auto"/>
        <w:bottom w:val="none" w:sz="0" w:space="0" w:color="auto"/>
        <w:right w:val="none" w:sz="0" w:space="0" w:color="auto"/>
      </w:divBdr>
    </w:div>
    <w:div w:id="1689524960">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4571485">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2779345">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05669039">
      <w:bodyDiv w:val="1"/>
      <w:marLeft w:val="0"/>
      <w:marRight w:val="0"/>
      <w:marTop w:val="0"/>
      <w:marBottom w:val="0"/>
      <w:divBdr>
        <w:top w:val="none" w:sz="0" w:space="0" w:color="auto"/>
        <w:left w:val="none" w:sz="0" w:space="0" w:color="auto"/>
        <w:bottom w:val="none" w:sz="0" w:space="0" w:color="auto"/>
        <w:right w:val="none" w:sz="0" w:space="0" w:color="auto"/>
      </w:divBdr>
    </w:div>
    <w:div w:id="1710573401">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18166359">
      <w:bodyDiv w:val="1"/>
      <w:marLeft w:val="0"/>
      <w:marRight w:val="0"/>
      <w:marTop w:val="0"/>
      <w:marBottom w:val="0"/>
      <w:divBdr>
        <w:top w:val="none" w:sz="0" w:space="0" w:color="auto"/>
        <w:left w:val="none" w:sz="0" w:space="0" w:color="auto"/>
        <w:bottom w:val="none" w:sz="0" w:space="0" w:color="auto"/>
        <w:right w:val="none" w:sz="0" w:space="0" w:color="auto"/>
      </w:divBdr>
    </w:div>
    <w:div w:id="1720199980">
      <w:bodyDiv w:val="1"/>
      <w:marLeft w:val="0"/>
      <w:marRight w:val="0"/>
      <w:marTop w:val="0"/>
      <w:marBottom w:val="0"/>
      <w:divBdr>
        <w:top w:val="none" w:sz="0" w:space="0" w:color="auto"/>
        <w:left w:val="none" w:sz="0" w:space="0" w:color="auto"/>
        <w:bottom w:val="none" w:sz="0" w:space="0" w:color="auto"/>
        <w:right w:val="none" w:sz="0" w:space="0" w:color="auto"/>
      </w:divBdr>
    </w:div>
    <w:div w:id="1725517230">
      <w:bodyDiv w:val="1"/>
      <w:marLeft w:val="0"/>
      <w:marRight w:val="0"/>
      <w:marTop w:val="0"/>
      <w:marBottom w:val="0"/>
      <w:divBdr>
        <w:top w:val="none" w:sz="0" w:space="0" w:color="auto"/>
        <w:left w:val="none" w:sz="0" w:space="0" w:color="auto"/>
        <w:bottom w:val="none" w:sz="0" w:space="0" w:color="auto"/>
        <w:right w:val="none" w:sz="0" w:space="0" w:color="auto"/>
      </w:divBdr>
    </w:div>
    <w:div w:id="1727297535">
      <w:bodyDiv w:val="1"/>
      <w:marLeft w:val="0"/>
      <w:marRight w:val="0"/>
      <w:marTop w:val="0"/>
      <w:marBottom w:val="0"/>
      <w:divBdr>
        <w:top w:val="none" w:sz="0" w:space="0" w:color="auto"/>
        <w:left w:val="none" w:sz="0" w:space="0" w:color="auto"/>
        <w:bottom w:val="none" w:sz="0" w:space="0" w:color="auto"/>
        <w:right w:val="none" w:sz="0" w:space="0" w:color="auto"/>
      </w:divBdr>
    </w:div>
    <w:div w:id="1732848263">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59671933">
      <w:bodyDiv w:val="1"/>
      <w:marLeft w:val="0"/>
      <w:marRight w:val="0"/>
      <w:marTop w:val="0"/>
      <w:marBottom w:val="0"/>
      <w:divBdr>
        <w:top w:val="none" w:sz="0" w:space="0" w:color="auto"/>
        <w:left w:val="none" w:sz="0" w:space="0" w:color="auto"/>
        <w:bottom w:val="none" w:sz="0" w:space="0" w:color="auto"/>
        <w:right w:val="none" w:sz="0" w:space="0" w:color="auto"/>
      </w:divBdr>
    </w:div>
    <w:div w:id="1763910482">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5396044">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4299643">
      <w:bodyDiv w:val="1"/>
      <w:marLeft w:val="0"/>
      <w:marRight w:val="0"/>
      <w:marTop w:val="0"/>
      <w:marBottom w:val="0"/>
      <w:divBdr>
        <w:top w:val="none" w:sz="0" w:space="0" w:color="auto"/>
        <w:left w:val="none" w:sz="0" w:space="0" w:color="auto"/>
        <w:bottom w:val="none" w:sz="0" w:space="0" w:color="auto"/>
        <w:right w:val="none" w:sz="0" w:space="0" w:color="auto"/>
      </w:divBdr>
    </w:div>
    <w:div w:id="1793942687">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09518275">
      <w:bodyDiv w:val="1"/>
      <w:marLeft w:val="0"/>
      <w:marRight w:val="0"/>
      <w:marTop w:val="0"/>
      <w:marBottom w:val="0"/>
      <w:divBdr>
        <w:top w:val="none" w:sz="0" w:space="0" w:color="auto"/>
        <w:left w:val="none" w:sz="0" w:space="0" w:color="auto"/>
        <w:bottom w:val="none" w:sz="0" w:space="0" w:color="auto"/>
        <w:right w:val="none" w:sz="0" w:space="0" w:color="auto"/>
      </w:divBdr>
    </w:div>
    <w:div w:id="1811284886">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4056164">
      <w:bodyDiv w:val="1"/>
      <w:marLeft w:val="0"/>
      <w:marRight w:val="0"/>
      <w:marTop w:val="0"/>
      <w:marBottom w:val="0"/>
      <w:divBdr>
        <w:top w:val="none" w:sz="0" w:space="0" w:color="auto"/>
        <w:left w:val="none" w:sz="0" w:space="0" w:color="auto"/>
        <w:bottom w:val="none" w:sz="0" w:space="0" w:color="auto"/>
        <w:right w:val="none" w:sz="0" w:space="0" w:color="auto"/>
      </w:divBdr>
    </w:div>
    <w:div w:id="1817069822">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3763839">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37726673">
      <w:bodyDiv w:val="1"/>
      <w:marLeft w:val="0"/>
      <w:marRight w:val="0"/>
      <w:marTop w:val="0"/>
      <w:marBottom w:val="0"/>
      <w:divBdr>
        <w:top w:val="none" w:sz="0" w:space="0" w:color="auto"/>
        <w:left w:val="none" w:sz="0" w:space="0" w:color="auto"/>
        <w:bottom w:val="none" w:sz="0" w:space="0" w:color="auto"/>
        <w:right w:val="none" w:sz="0" w:space="0" w:color="auto"/>
      </w:divBdr>
    </w:div>
    <w:div w:id="1838494150">
      <w:bodyDiv w:val="1"/>
      <w:marLeft w:val="0"/>
      <w:marRight w:val="0"/>
      <w:marTop w:val="0"/>
      <w:marBottom w:val="0"/>
      <w:divBdr>
        <w:top w:val="none" w:sz="0" w:space="0" w:color="auto"/>
        <w:left w:val="none" w:sz="0" w:space="0" w:color="auto"/>
        <w:bottom w:val="none" w:sz="0" w:space="0" w:color="auto"/>
        <w:right w:val="none" w:sz="0" w:space="0" w:color="auto"/>
      </w:divBdr>
    </w:div>
    <w:div w:id="1840076278">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69564795">
      <w:bodyDiv w:val="1"/>
      <w:marLeft w:val="0"/>
      <w:marRight w:val="0"/>
      <w:marTop w:val="0"/>
      <w:marBottom w:val="0"/>
      <w:divBdr>
        <w:top w:val="none" w:sz="0" w:space="0" w:color="auto"/>
        <w:left w:val="none" w:sz="0" w:space="0" w:color="auto"/>
        <w:bottom w:val="none" w:sz="0" w:space="0" w:color="auto"/>
        <w:right w:val="none" w:sz="0" w:space="0" w:color="auto"/>
      </w:divBdr>
    </w:div>
    <w:div w:id="1870557731">
      <w:bodyDiv w:val="1"/>
      <w:marLeft w:val="0"/>
      <w:marRight w:val="0"/>
      <w:marTop w:val="0"/>
      <w:marBottom w:val="0"/>
      <w:divBdr>
        <w:top w:val="none" w:sz="0" w:space="0" w:color="auto"/>
        <w:left w:val="none" w:sz="0" w:space="0" w:color="auto"/>
        <w:bottom w:val="none" w:sz="0" w:space="0" w:color="auto"/>
        <w:right w:val="none" w:sz="0" w:space="0" w:color="auto"/>
      </w:divBdr>
    </w:div>
    <w:div w:id="1879319773">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2672734">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87712460">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894921981">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12689492">
      <w:bodyDiv w:val="1"/>
      <w:marLeft w:val="0"/>
      <w:marRight w:val="0"/>
      <w:marTop w:val="0"/>
      <w:marBottom w:val="0"/>
      <w:divBdr>
        <w:top w:val="none" w:sz="0" w:space="0" w:color="auto"/>
        <w:left w:val="none" w:sz="0" w:space="0" w:color="auto"/>
        <w:bottom w:val="none" w:sz="0" w:space="0" w:color="auto"/>
        <w:right w:val="none" w:sz="0" w:space="0" w:color="auto"/>
      </w:divBdr>
    </w:div>
    <w:div w:id="1919096876">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6257671">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161">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45380607">
      <w:bodyDiv w:val="1"/>
      <w:marLeft w:val="0"/>
      <w:marRight w:val="0"/>
      <w:marTop w:val="0"/>
      <w:marBottom w:val="0"/>
      <w:divBdr>
        <w:top w:val="none" w:sz="0" w:space="0" w:color="auto"/>
        <w:left w:val="none" w:sz="0" w:space="0" w:color="auto"/>
        <w:bottom w:val="none" w:sz="0" w:space="0" w:color="auto"/>
        <w:right w:val="none" w:sz="0" w:space="0" w:color="auto"/>
      </w:divBdr>
    </w:div>
    <w:div w:id="1953242670">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54552746">
      <w:bodyDiv w:val="1"/>
      <w:marLeft w:val="0"/>
      <w:marRight w:val="0"/>
      <w:marTop w:val="0"/>
      <w:marBottom w:val="0"/>
      <w:divBdr>
        <w:top w:val="none" w:sz="0" w:space="0" w:color="auto"/>
        <w:left w:val="none" w:sz="0" w:space="0" w:color="auto"/>
        <w:bottom w:val="none" w:sz="0" w:space="0" w:color="auto"/>
        <w:right w:val="none" w:sz="0" w:space="0" w:color="auto"/>
      </w:divBdr>
    </w:div>
    <w:div w:id="1956397985">
      <w:bodyDiv w:val="1"/>
      <w:marLeft w:val="0"/>
      <w:marRight w:val="0"/>
      <w:marTop w:val="0"/>
      <w:marBottom w:val="0"/>
      <w:divBdr>
        <w:top w:val="none" w:sz="0" w:space="0" w:color="auto"/>
        <w:left w:val="none" w:sz="0" w:space="0" w:color="auto"/>
        <w:bottom w:val="none" w:sz="0" w:space="0" w:color="auto"/>
        <w:right w:val="none" w:sz="0" w:space="0" w:color="auto"/>
      </w:divBdr>
    </w:div>
    <w:div w:id="1959990251">
      <w:bodyDiv w:val="1"/>
      <w:marLeft w:val="0"/>
      <w:marRight w:val="0"/>
      <w:marTop w:val="0"/>
      <w:marBottom w:val="0"/>
      <w:divBdr>
        <w:top w:val="none" w:sz="0" w:space="0" w:color="auto"/>
        <w:left w:val="none" w:sz="0" w:space="0" w:color="auto"/>
        <w:bottom w:val="none" w:sz="0" w:space="0" w:color="auto"/>
        <w:right w:val="none" w:sz="0" w:space="0" w:color="auto"/>
      </w:divBdr>
    </w:div>
    <w:div w:id="1965771464">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0697149">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138506">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2418242">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16033795">
      <w:bodyDiv w:val="1"/>
      <w:marLeft w:val="0"/>
      <w:marRight w:val="0"/>
      <w:marTop w:val="0"/>
      <w:marBottom w:val="0"/>
      <w:divBdr>
        <w:top w:val="none" w:sz="0" w:space="0" w:color="auto"/>
        <w:left w:val="none" w:sz="0" w:space="0" w:color="auto"/>
        <w:bottom w:val="none" w:sz="0" w:space="0" w:color="auto"/>
        <w:right w:val="none" w:sz="0" w:space="0" w:color="auto"/>
      </w:divBdr>
    </w:div>
    <w:div w:id="202204997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3601869">
      <w:bodyDiv w:val="1"/>
      <w:marLeft w:val="0"/>
      <w:marRight w:val="0"/>
      <w:marTop w:val="0"/>
      <w:marBottom w:val="0"/>
      <w:divBdr>
        <w:top w:val="none" w:sz="0" w:space="0" w:color="auto"/>
        <w:left w:val="none" w:sz="0" w:space="0" w:color="auto"/>
        <w:bottom w:val="none" w:sz="0" w:space="0" w:color="auto"/>
        <w:right w:val="none" w:sz="0" w:space="0" w:color="auto"/>
      </w:divBdr>
    </w:div>
    <w:div w:id="2037777311">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615233">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78085639">
      <w:bodyDiv w:val="1"/>
      <w:marLeft w:val="0"/>
      <w:marRight w:val="0"/>
      <w:marTop w:val="0"/>
      <w:marBottom w:val="0"/>
      <w:divBdr>
        <w:top w:val="none" w:sz="0" w:space="0" w:color="auto"/>
        <w:left w:val="none" w:sz="0" w:space="0" w:color="auto"/>
        <w:bottom w:val="none" w:sz="0" w:space="0" w:color="auto"/>
        <w:right w:val="none" w:sz="0" w:space="0" w:color="auto"/>
      </w:divBdr>
    </w:div>
    <w:div w:id="2085712431">
      <w:bodyDiv w:val="1"/>
      <w:marLeft w:val="0"/>
      <w:marRight w:val="0"/>
      <w:marTop w:val="0"/>
      <w:marBottom w:val="0"/>
      <w:divBdr>
        <w:top w:val="none" w:sz="0" w:space="0" w:color="auto"/>
        <w:left w:val="none" w:sz="0" w:space="0" w:color="auto"/>
        <w:bottom w:val="none" w:sz="0" w:space="0" w:color="auto"/>
        <w:right w:val="none" w:sz="0" w:space="0" w:color="auto"/>
      </w:divBdr>
    </w:div>
    <w:div w:id="2086340705">
      <w:bodyDiv w:val="1"/>
      <w:marLeft w:val="0"/>
      <w:marRight w:val="0"/>
      <w:marTop w:val="0"/>
      <w:marBottom w:val="0"/>
      <w:divBdr>
        <w:top w:val="none" w:sz="0" w:space="0" w:color="auto"/>
        <w:left w:val="none" w:sz="0" w:space="0" w:color="auto"/>
        <w:bottom w:val="none" w:sz="0" w:space="0" w:color="auto"/>
        <w:right w:val="none" w:sz="0" w:space="0" w:color="auto"/>
      </w:divBdr>
    </w:div>
    <w:div w:id="2090418525">
      <w:bodyDiv w:val="1"/>
      <w:marLeft w:val="0"/>
      <w:marRight w:val="0"/>
      <w:marTop w:val="0"/>
      <w:marBottom w:val="0"/>
      <w:divBdr>
        <w:top w:val="none" w:sz="0" w:space="0" w:color="auto"/>
        <w:left w:val="none" w:sz="0" w:space="0" w:color="auto"/>
        <w:bottom w:val="none" w:sz="0" w:space="0" w:color="auto"/>
        <w:right w:val="none" w:sz="0" w:space="0" w:color="auto"/>
      </w:divBdr>
    </w:div>
    <w:div w:id="2096393192">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2118759">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7827242">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0486360">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29855027">
      <w:bodyDiv w:val="1"/>
      <w:marLeft w:val="0"/>
      <w:marRight w:val="0"/>
      <w:marTop w:val="0"/>
      <w:marBottom w:val="0"/>
      <w:divBdr>
        <w:top w:val="none" w:sz="0" w:space="0" w:color="auto"/>
        <w:left w:val="none" w:sz="0" w:space="0" w:color="auto"/>
        <w:bottom w:val="none" w:sz="0" w:space="0" w:color="auto"/>
        <w:right w:val="none" w:sz="0" w:space="0" w:color="auto"/>
      </w:divBdr>
    </w:div>
    <w:div w:id="2130005422">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elen.ucl.ac.be/Proceedings/esann/esannpdf/es2010-17.pdf" TargetMode="External"/><Relationship Id="rId10" Type="http://schemas.openxmlformats.org/officeDocument/2006/relationships/hyperlink" Target="mailto:palmona1@eafit.edu.c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52</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
    <b:Tag>Sch171</b:Tag>
    <b:SourceType>JournalArticle</b:SourceType>
    <b:Guid>{AB613D61-6AF6-401D-9A92-1ED2C007A0FE}</b:Guid>
    <b:Title>Proximal Policy Optimization Algorithms</b:Title>
    <b:JournalName>OpenAI</b:JournalName>
    <b:Year>2017</b:Year>
    <b:DOI>arXiv:1707.06347</b:DOI>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RefOrder>49</b:RefOrder>
  </b:Source>
  <b:Source>
    <b:Tag>Sch15</b:Tag>
    <b:SourceType>JournalArticle</b:SourceType>
    <b:Guid>{2FE90667-185F-48A9-BF0A-2E1DA8724E87}</b:Guid>
    <b:Title>Trust Region Policy Optimization</b:Title>
    <b:JournalName>International conference on machine learning</b:JournalName>
    <b:Year>2015</b:Year>
    <b:Pages>1889-1897</b:Pages>
    <b:DOI>https://doi.org/10.48550/arXiv.1502.05477</b:DOI>
    <b:Author>
      <b:Author>
        <b:NameList>
          <b:Person>
            <b:Last>Schulman</b:Last>
            <b:First>John</b:First>
          </b:Person>
          <b:Person>
            <b:Last>Levine</b:Last>
            <b:First>Sergey</b:First>
          </b:Person>
          <b:Person>
            <b:Last>Moritz</b:Last>
            <b:First>Philipp</b:First>
          </b:Person>
          <b:Person>
            <b:Last>Jordan</b:Last>
            <b:First>Michael I.</b:First>
          </b:Person>
          <b:Person>
            <b:Last>Abbeel</b:Last>
            <b:First>Pieter</b:First>
          </b:Person>
        </b:NameList>
      </b:Author>
    </b:Author>
    <b:RefOrder>48</b:RefOrder>
  </b:Source>
  <b:Source>
    <b:Tag>Fab07</b:Tag>
    <b:SourceType>Book</b:SourceType>
    <b:Guid>{7C09795E-E6F8-47B6-8BEE-6C7B09C0702B}</b:Guid>
    <b:Title>Fixed income analysis</b:Title>
    <b:Year>2007</b:Year>
    <b:Publisher>John Wiley &amp; Sons</b:Publisher>
    <b:Author>
      <b:Author>
        <b:NameList>
          <b:Person>
            <b:Last>Fabozzi</b:Last>
            <b:Middle>J.</b:Middle>
            <b:First>Frank</b:First>
          </b:Person>
        </b:NameList>
      </b:Author>
    </b:Author>
    <b:RefOrder>50</b:RefOrder>
  </b:Source>
  <b:Source>
    <b:Tag>Ban22</b:Tag>
    <b:SourceType>DocumentFromInternetSite</b:SourceType>
    <b:Guid>{B9864D4F-49BC-40D8-83FF-36D8B29F057F}</b:Guid>
    <b:Title>Estadísticas SEN: Banco de la República</b:Title>
    <b:Year>2022</b:Year>
    <b:Author>
      <b:Author>
        <b:Corporate>Banco de la República</b:Corporate>
      </b:Author>
    </b:Author>
    <b:InternetSiteTitle>Banco de la República</b:InternetSiteTitle>
    <b:Month>12</b:Month>
    <b:URL>https://www.banrep.gov.co/es/sistemas-pago/estadisticas-sen</b:URL>
    <b:RefOrder>51</b:RefOrder>
  </b:Source>
</b:Sources>
</file>

<file path=customXml/itemProps1.xml><?xml version="1.0" encoding="utf-8"?>
<ds:datastoreItem xmlns:ds="http://schemas.openxmlformats.org/officeDocument/2006/customXml" ds:itemID="{27BA3D32-9516-4136-AB2D-CB088466F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73</Pages>
  <Words>15280</Words>
  <Characters>84043</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80</cp:revision>
  <dcterms:created xsi:type="dcterms:W3CDTF">2023-06-15T04:17:00Z</dcterms:created>
  <dcterms:modified xsi:type="dcterms:W3CDTF">2023-07-26T06:02:00Z</dcterms:modified>
</cp:coreProperties>
</file>