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56"/>
          <w:szCs w:val="56"/>
        </w:rPr>
        <w:t xml:space="preserve">QuantAlpha</w:t>
      </w:r>
    </w:p>
    <w:p>
      <w:pPr>
        <w:spacing w:after="100" w:before="0"/>
        <w:jc w:val="center"/>
      </w:pPr>
      <w:r>
        <w:rPr>
          <w:rFonts w:ascii="Arial" w:cs="Arial" w:eastAsia="Arial" w:hAnsi="Arial"/>
          <w:color w:val="2E75B6"/>
          <w:sz w:val="26"/>
          <w:szCs w:val="26"/>
        </w:rPr>
        <w:t xml:space="preserve">Project Summary &amp; Quantitative Metrics Glossary</w:t>
      </w:r>
    </w:p>
    <w:p>
      <w:pPr>
        <w:spacing w:after="400" w:before="0"/>
        <w:jc w:val="center"/>
      </w:pPr>
      <w:r>
        <w:rPr>
          <w:rFonts w:ascii="Arial" w:cs="Arial" w:eastAsia="Arial" w:hAnsi="Arial"/>
          <w:color w:val="666666"/>
          <w:sz w:val="20"/>
          <w:szCs w:val="20"/>
        </w:rPr>
        <w:t xml:space="preserve">Diego Mella Valerio  |  June 2026</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Part 1 — Project Summary</w:t>
      </w:r>
    </w:p>
    <w:p>
      <w:pPr>
        <w:pStyle w:val="Heading2"/>
        <w:spacing w:after="120" w:before="240"/>
      </w:pPr>
      <w:r>
        <w:rPr>
          <w:rFonts w:ascii="Arial" w:cs="Arial" w:eastAsia="Arial" w:hAnsi="Arial"/>
          <w:b/>
          <w:bCs/>
          <w:color w:val="2E75B6"/>
          <w:sz w:val="26"/>
          <w:szCs w:val="26"/>
        </w:rPr>
        <w:t xml:space="preserve">1.1  What is QuantAlpha?</w:t>
      </w:r>
    </w:p>
    <w:p>
      <w:pPr>
        <w:spacing w:after="80" w:before="80"/>
      </w:pPr>
      <w:r>
        <w:rPr>
          <w:rFonts w:ascii="Arial" w:cs="Arial" w:eastAsia="Arial" w:hAnsi="Arial"/>
          <w:sz w:val="22"/>
          <w:szCs w:val="22"/>
        </w:rPr>
        <w:t xml:space="preserve">QuantAlpha is a systematic quantitative trading and portfolio management framework built entirely in Python. It is designed to demonstrate the full pipeline of a quant strategy: from raw market data ingestion, through signal generation, to backtesting and performance analysis.</w:t>
      </w:r>
    </w:p>
    <w:p>
      <w:pPr>
        <w:spacing w:after="80" w:before="80"/>
      </w:pPr>
      <w:r>
        <w:rPr>
          <w:rFonts w:ascii="Arial" w:cs="Arial" w:eastAsia="Arial" w:hAnsi="Arial"/>
          <w:sz w:val="22"/>
          <w:szCs w:val="22"/>
        </w:rPr>
        <w:t xml:space="preserve">The project serves two purposes: first, as a technical portfolio to support applications to top MFE programs (Baruch, CMU, Columbia, Imperial); second, as a practical learning environment to develop the skills required for a career as a quant trader or portfolio manager at a top-tier bank or hedge fund.</w:t>
      </w:r>
    </w:p>
    <w:p>
      <w:pPr>
        <w:pStyle w:val="Heading2"/>
        <w:spacing w:after="120" w:before="240"/>
      </w:pPr>
      <w:r>
        <w:rPr>
          <w:rFonts w:ascii="Arial" w:cs="Arial" w:eastAsia="Arial" w:hAnsi="Arial"/>
          <w:b/>
          <w:bCs/>
          <w:color w:val="2E75B6"/>
          <w:sz w:val="26"/>
          <w:szCs w:val="26"/>
        </w:rPr>
        <w:t xml:space="preserve">1.2  Author Background</w:t>
      </w:r>
    </w:p>
    <w:p>
      <w:pPr>
        <w:pStyle w:val="ListParagraph"/>
        <w:numPr>
          <w:ilvl w:val="0"/>
          <w:numId w:val="2"/>
        </w:numPr>
        <w:spacing w:after="60" w:before="60"/>
      </w:pPr>
      <w:r>
        <w:rPr>
          <w:rFonts w:ascii="Arial" w:cs="Arial" w:eastAsia="Arial" w:hAnsi="Arial"/>
          <w:b/>
          <w:bCs/>
          <w:sz w:val="22"/>
          <w:szCs w:val="22"/>
        </w:rPr>
        <w:t xml:space="preserve">Degree: </w:t>
      </w:r>
      <w:r>
        <w:rPr>
          <w:rFonts w:ascii="Arial" w:cs="Arial" w:eastAsia="Arial" w:hAnsi="Arial"/>
          <w:sz w:val="22"/>
          <w:szCs w:val="22"/>
        </w:rPr>
        <w:t xml:space="preserve">MSc Financial Engineering, Universidad Adolfo Ibanez (UAI), Chile</w:t>
      </w:r>
    </w:p>
    <w:p>
      <w:pPr>
        <w:pStyle w:val="ListParagraph"/>
        <w:numPr>
          <w:ilvl w:val="0"/>
          <w:numId w:val="2"/>
        </w:numPr>
        <w:spacing w:after="60" w:before="60"/>
      </w:pPr>
      <w:r>
        <w:rPr>
          <w:rFonts w:ascii="Arial" w:cs="Arial" w:eastAsia="Arial" w:hAnsi="Arial"/>
          <w:b/>
          <w:bCs/>
          <w:sz w:val="22"/>
          <w:szCs w:val="22"/>
        </w:rPr>
        <w:t xml:space="preserve">Past experience: </w:t>
      </w:r>
      <w:r>
        <w:rPr>
          <w:rFonts w:ascii="Arial" w:cs="Arial" w:eastAsia="Arial" w:hAnsi="Arial"/>
          <w:sz w:val="22"/>
          <w:szCs w:val="22"/>
        </w:rPr>
        <w:t xml:space="preserve">Historical VaR engine, XVA pricing, P&amp;L Explain at Tanner Servicios Financieros</w:t>
      </w:r>
    </w:p>
    <w:p>
      <w:pPr>
        <w:pStyle w:val="ListParagraph"/>
        <w:numPr>
          <w:ilvl w:val="0"/>
          <w:numId w:val="2"/>
        </w:numPr>
        <w:spacing w:after="60" w:before="60"/>
      </w:pPr>
      <w:r>
        <w:rPr>
          <w:rFonts w:ascii="Arial" w:cs="Arial" w:eastAsia="Arial" w:hAnsi="Arial"/>
          <w:b/>
          <w:bCs/>
          <w:sz w:val="22"/>
          <w:szCs w:val="22"/>
        </w:rPr>
        <w:t xml:space="preserve">Current role: </w:t>
      </w:r>
      <w:r>
        <w:rPr>
          <w:rFonts w:ascii="Arial" w:cs="Arial" w:eastAsia="Arial" w:hAnsi="Arial"/>
          <w:sz w:val="22"/>
          <w:szCs w:val="22"/>
        </w:rPr>
        <w:t xml:space="preserve">Murex MX.3 Test Engineer (equity and fixed income derivatives)</w:t>
      </w:r>
    </w:p>
    <w:p>
      <w:pPr>
        <w:pStyle w:val="ListParagraph"/>
        <w:numPr>
          <w:ilvl w:val="0"/>
          <w:numId w:val="2"/>
        </w:numPr>
        <w:spacing w:after="60" w:before="60"/>
      </w:pPr>
      <w:r>
        <w:rPr>
          <w:rFonts w:ascii="Arial" w:cs="Arial" w:eastAsia="Arial" w:hAnsi="Arial"/>
          <w:b/>
          <w:bCs/>
          <w:sz w:val="22"/>
          <w:szCs w:val="22"/>
        </w:rPr>
        <w:t xml:space="preserve">Technical strengths: </w:t>
      </w:r>
      <w:r>
        <w:rPr>
          <w:rFonts w:ascii="Arial" w:cs="Arial" w:eastAsia="Arial" w:hAnsi="Arial"/>
          <w:sz w:val="22"/>
          <w:szCs w:val="22"/>
        </w:rPr>
        <w:t xml:space="preserve">Python, financial derivatives, risk systems</w:t>
      </w:r>
    </w:p>
    <w:p>
      <w:pPr>
        <w:pStyle w:val="ListParagraph"/>
        <w:numPr>
          <w:ilvl w:val="0"/>
          <w:numId w:val="2"/>
        </w:numPr>
        <w:spacing w:after="60" w:before="60"/>
      </w:pPr>
      <w:r>
        <w:rPr>
          <w:rFonts w:ascii="Arial" w:cs="Arial" w:eastAsia="Arial" w:hAnsi="Arial"/>
          <w:b/>
          <w:bCs/>
          <w:sz w:val="22"/>
          <w:szCs w:val="22"/>
        </w:rPr>
        <w:t xml:space="preserve">GitHub: </w:t>
      </w:r>
      <w:r>
        <w:rPr>
          <w:rFonts w:ascii="Arial" w:cs="Arial" w:eastAsia="Arial" w:hAnsi="Arial"/>
          <w:sz w:val="22"/>
          <w:szCs w:val="22"/>
        </w:rPr>
        <w:t xml:space="preserve">github.com/dmellav-quant/QuantAlpha</w:t>
      </w:r>
    </w:p>
    <w:p>
      <w:pPr>
        <w:pStyle w:val="Heading2"/>
        <w:spacing w:after="120" w:before="240"/>
      </w:pPr>
      <w:r>
        <w:rPr>
          <w:rFonts w:ascii="Arial" w:cs="Arial" w:eastAsia="Arial" w:hAnsi="Arial"/>
          <w:b/>
          <w:bCs/>
          <w:color w:val="2E75B6"/>
          <w:sz w:val="26"/>
          <w:szCs w:val="26"/>
        </w:rPr>
        <w:t xml:space="preserve">1.3  Project Architecture</w:t>
      </w:r>
    </w:p>
    <w:p>
      <w:pPr>
        <w:spacing w:after="80" w:before="80"/>
      </w:pPr>
      <w:r>
        <w:rPr>
          <w:rFonts w:ascii="Arial" w:cs="Arial" w:eastAsia="Arial" w:hAnsi="Arial"/>
          <w:sz w:val="22"/>
          <w:szCs w:val="22"/>
        </w:rPr>
        <w:t xml:space="preserve">The codebase is organized into five layers, each with a single responsibility:</w:t>
      </w:r>
    </w:p>
    <w:p>
      <w:pPr>
        <w:pStyle w:val="ListParagraph"/>
        <w:numPr>
          <w:ilvl w:val="0"/>
          <w:numId w:val="2"/>
        </w:numPr>
        <w:spacing w:after="60" w:before="60"/>
      </w:pPr>
      <w:r>
        <w:rPr>
          <w:rFonts w:ascii="Arial" w:cs="Arial" w:eastAsia="Arial" w:hAnsi="Arial"/>
          <w:b/>
          <w:bCs/>
          <w:sz w:val="22"/>
          <w:szCs w:val="22"/>
        </w:rPr>
        <w:t xml:space="preserve">data/loaders/equity.py — </w:t>
      </w:r>
      <w:r>
        <w:rPr>
          <w:rFonts w:ascii="Arial" w:cs="Arial" w:eastAsia="Arial" w:hAnsi="Arial"/>
          <w:sz w:val="22"/>
          <w:szCs w:val="22"/>
        </w:rPr>
        <w:t xml:space="preserve">Downloads and cleans daily closing prices for any list of tickers using Yahoo Finance (yfinance + curl_cffi to bypass rate limiting). Returns a tidy DataFrame indexed by date.</w:t>
      </w:r>
    </w:p>
    <w:p>
      <w:pPr>
        <w:pStyle w:val="ListParagraph"/>
        <w:numPr>
          <w:ilvl w:val="0"/>
          <w:numId w:val="2"/>
        </w:numPr>
        <w:spacing w:after="60" w:before="60"/>
      </w:pPr>
      <w:r>
        <w:rPr>
          <w:rFonts w:ascii="Arial" w:cs="Arial" w:eastAsia="Arial" w:hAnsi="Arial"/>
          <w:b/>
          <w:bCs/>
          <w:sz w:val="22"/>
          <w:szCs w:val="22"/>
        </w:rPr>
        <w:t xml:space="preserve">signals/momentum/cross_sectional.py — </w:t>
      </w:r>
      <w:r>
        <w:rPr>
          <w:rFonts w:ascii="Arial" w:cs="Arial" w:eastAsia="Arial" w:hAnsi="Arial"/>
          <w:sz w:val="22"/>
          <w:szCs w:val="22"/>
        </w:rPr>
        <w:t xml:space="preserve">Computes the cross-sectional momentum signal and converts it into long/short portfolio weights.</w:t>
      </w:r>
    </w:p>
    <w:p>
      <w:pPr>
        <w:pStyle w:val="ListParagraph"/>
        <w:numPr>
          <w:ilvl w:val="0"/>
          <w:numId w:val="2"/>
        </w:numPr>
        <w:spacing w:after="60" w:before="60"/>
      </w:pPr>
      <w:r>
        <w:rPr>
          <w:rFonts w:ascii="Arial" w:cs="Arial" w:eastAsia="Arial" w:hAnsi="Arial"/>
          <w:b/>
          <w:bCs/>
          <w:sz w:val="22"/>
          <w:szCs w:val="22"/>
        </w:rPr>
        <w:t xml:space="preserve">backtest/vectorized.py — </w:t>
      </w:r>
      <w:r>
        <w:rPr>
          <w:rFonts w:ascii="Arial" w:cs="Arial" w:eastAsia="Arial" w:hAnsi="Arial"/>
          <w:sz w:val="22"/>
          <w:szCs w:val="22"/>
        </w:rPr>
        <w:t xml:space="preserve">Simulates the strategy historically by recomputing signals monthly and tracking daily portfolio returns.</w:t>
      </w:r>
    </w:p>
    <w:p>
      <w:pPr>
        <w:pStyle w:val="ListParagraph"/>
        <w:numPr>
          <w:ilvl w:val="0"/>
          <w:numId w:val="2"/>
        </w:numPr>
        <w:spacing w:after="60" w:before="60"/>
      </w:pPr>
      <w:r>
        <w:rPr>
          <w:rFonts w:ascii="Arial" w:cs="Arial" w:eastAsia="Arial" w:hAnsi="Arial"/>
          <w:b/>
          <w:bCs/>
          <w:sz w:val="22"/>
          <w:szCs w:val="22"/>
        </w:rPr>
        <w:t xml:space="preserve">notebooks/ — </w:t>
      </w:r>
      <w:r>
        <w:rPr>
          <w:rFonts w:ascii="Arial" w:cs="Arial" w:eastAsia="Arial" w:hAnsi="Arial"/>
          <w:sz w:val="22"/>
          <w:szCs w:val="22"/>
        </w:rPr>
        <w:t xml:space="preserve">Visualization scripts that produce equity curve charts and performance summaries.</w:t>
      </w:r>
    </w:p>
    <w:p>
      <w:pPr>
        <w:pStyle w:val="ListParagraph"/>
        <w:numPr>
          <w:ilvl w:val="0"/>
          <w:numId w:val="2"/>
        </w:numPr>
        <w:spacing w:after="60" w:before="60"/>
      </w:pPr>
      <w:r>
        <w:rPr>
          <w:rFonts w:ascii="Arial" w:cs="Arial" w:eastAsia="Arial" w:hAnsi="Arial"/>
          <w:b/>
          <w:bCs/>
          <w:sz w:val="22"/>
          <w:szCs w:val="22"/>
        </w:rPr>
        <w:t xml:space="preserve">risk/, portfolio/ — </w:t>
      </w:r>
      <w:r>
        <w:rPr>
          <w:rFonts w:ascii="Arial" w:cs="Arial" w:eastAsia="Arial" w:hAnsi="Arial"/>
          <w:sz w:val="22"/>
          <w:szCs w:val="22"/>
        </w:rPr>
        <w:t xml:space="preserve">Planned modules for VaR, CVaR, factor exposures, and portfolio optimization.</w:t>
      </w:r>
    </w:p>
    <w:p>
      <w:pPr>
        <w:pStyle w:val="Heading2"/>
        <w:spacing w:after="120" w:before="240"/>
      </w:pPr>
      <w:r>
        <w:rPr>
          <w:rFonts w:ascii="Arial" w:cs="Arial" w:eastAsia="Arial" w:hAnsi="Arial"/>
          <w:b/>
          <w:bCs/>
          <w:color w:val="2E75B6"/>
          <w:sz w:val="26"/>
          <w:szCs w:val="26"/>
        </w:rPr>
        <w:t xml:space="preserve">1.4  Strategy: Cross-Sectional Momentum</w:t>
      </w:r>
    </w:p>
    <w:p>
      <w:pPr>
        <w:spacing w:after="80" w:before="80"/>
      </w:pPr>
      <w:r>
        <w:rPr>
          <w:rFonts w:ascii="Arial" w:cs="Arial" w:eastAsia="Arial" w:hAnsi="Arial"/>
          <w:sz w:val="22"/>
          <w:szCs w:val="22"/>
        </w:rPr>
        <w:t xml:space="preserve">The first strategy implemented is cross-sectional momentum, one of the most robust and well-documented phenomena in academic finance (Jegadeesh &amp; Titman, 1993). The core idea is that assets which have outperformed their peers over the past year tend to continue outperforming over the next month.</w:t>
      </w:r>
    </w:p>
    <w:p>
      <w:pPr>
        <w:spacing w:after="120" w:before="120"/>
      </w:pPr>
      <w:r>
        <w:rPr>
          <w:rFonts w:ascii="Arial" w:cs="Arial" w:eastAsia="Arial" w:hAnsi="Arial"/>
          <w:b/>
          <w:bCs/>
          <w:sz w:val="22"/>
          <w:szCs w:val="22"/>
        </w:rPr>
        <w:t xml:space="preserve">Signal construction:</w:t>
      </w:r>
    </w:p>
    <w:p>
      <w:pPr>
        <w:pStyle w:val="ListParagraph"/>
        <w:numPr>
          <w:ilvl w:val="0"/>
          <w:numId w:val="2"/>
        </w:numPr>
        <w:spacing w:after="60" w:before="60"/>
      </w:pPr>
      <w:r>
        <w:rPr>
          <w:rFonts w:ascii="Arial" w:cs="Arial" w:eastAsia="Arial" w:hAnsi="Arial"/>
          <w:sz w:val="22"/>
          <w:szCs w:val="22"/>
        </w:rPr>
        <w:t xml:space="preserve">Lookback window: 12 months (252 trading days)</w:t>
      </w:r>
    </w:p>
    <w:p>
      <w:pPr>
        <w:pStyle w:val="ListParagraph"/>
        <w:numPr>
          <w:ilvl w:val="0"/>
          <w:numId w:val="2"/>
        </w:numPr>
        <w:spacing w:after="60" w:before="60"/>
      </w:pPr>
      <w:r>
        <w:rPr>
          <w:rFonts w:ascii="Arial" w:cs="Arial" w:eastAsia="Arial" w:hAnsi="Arial"/>
          <w:sz w:val="22"/>
          <w:szCs w:val="22"/>
        </w:rPr>
        <w:t xml:space="preserve">Skip period: 1 month (21 trading days) — the most recent month is excluded to avoid short-term reversal, a well-known contaminating effect</w:t>
      </w:r>
    </w:p>
    <w:p>
      <w:pPr>
        <w:pStyle w:val="ListParagraph"/>
        <w:numPr>
          <w:ilvl w:val="0"/>
          <w:numId w:val="2"/>
        </w:numPr>
        <w:spacing w:after="60" w:before="60"/>
      </w:pPr>
      <w:r>
        <w:rPr>
          <w:rFonts w:ascii="Arial" w:cs="Arial" w:eastAsia="Arial" w:hAnsi="Arial"/>
          <w:sz w:val="22"/>
          <w:szCs w:val="22"/>
        </w:rPr>
        <w:t xml:space="preserve">Ranking: all assets are ranked by their 12-1 return from worst (rank 1) to best (rank N)</w:t>
      </w:r>
    </w:p>
    <w:p>
      <w:pPr>
        <w:pStyle w:val="ListParagraph"/>
        <w:numPr>
          <w:ilvl w:val="0"/>
          <w:numId w:val="2"/>
        </w:numPr>
        <w:spacing w:after="60" w:before="60"/>
      </w:pPr>
      <w:r>
        <w:rPr>
          <w:rFonts w:ascii="Arial" w:cs="Arial" w:eastAsia="Arial" w:hAnsi="Arial"/>
          <w:sz w:val="22"/>
          <w:szCs w:val="22"/>
        </w:rPr>
        <w:t xml:space="preserve">Signal assignment: top third of assets = Long (+1), bottom third = Short (-1), middle third = Neutral (0)</w:t>
      </w:r>
    </w:p>
    <w:p>
      <w:pPr>
        <w:pStyle w:val="ListParagraph"/>
        <w:numPr>
          <w:ilvl w:val="0"/>
          <w:numId w:val="2"/>
        </w:numPr>
        <w:spacing w:after="60" w:before="60"/>
      </w:pPr>
      <w:r>
        <w:rPr>
          <w:rFonts w:ascii="Arial" w:cs="Arial" w:eastAsia="Arial" w:hAnsi="Arial"/>
          <w:sz w:val="22"/>
          <w:szCs w:val="22"/>
        </w:rPr>
        <w:t xml:space="preserve">Portfolio weights: equal-weighted within longs and shorts</w:t>
      </w:r>
    </w:p>
    <w:p>
      <w:pPr>
        <w:pStyle w:val="ListParagraph"/>
        <w:numPr>
          <w:ilvl w:val="0"/>
          <w:numId w:val="2"/>
        </w:numPr>
        <w:spacing w:after="60" w:before="60"/>
      </w:pPr>
      <w:r>
        <w:rPr>
          <w:rFonts w:ascii="Arial" w:cs="Arial" w:eastAsia="Arial" w:hAnsi="Arial"/>
          <w:sz w:val="22"/>
          <w:szCs w:val="22"/>
        </w:rPr>
        <w:t xml:space="preserve">Rebalance frequency: monthly (every 21 trading days)</w:t>
      </w:r>
    </w:p>
    <w:p>
      <w:pPr>
        <w:pStyle w:val="Heading2"/>
        <w:spacing w:after="120" w:before="240"/>
      </w:pPr>
      <w:r>
        <w:rPr>
          <w:rFonts w:ascii="Arial" w:cs="Arial" w:eastAsia="Arial" w:hAnsi="Arial"/>
          <w:b/>
          <w:bCs/>
          <w:color w:val="2E75B6"/>
          <w:sz w:val="26"/>
          <w:szCs w:val="26"/>
        </w:rPr>
        <w:t xml:space="preserve">1.5  Universe</w:t>
      </w:r>
    </w:p>
    <w:p>
      <w:pPr>
        <w:spacing w:after="80" w:before="80"/>
      </w:pPr>
      <w:r>
        <w:rPr>
          <w:rFonts w:ascii="Arial" w:cs="Arial" w:eastAsia="Arial" w:hAnsi="Arial"/>
          <w:sz w:val="22"/>
          <w:szCs w:val="22"/>
        </w:rPr>
        <w:t xml:space="preserve">The strategy runs on a 56-asset multi-asset universe spanning six asset classes:</w:t>
      </w:r>
    </w:p>
    <w:p>
      <w:pPr>
        <w:pStyle w:val="ListParagraph"/>
        <w:numPr>
          <w:ilvl w:val="0"/>
          <w:numId w:val="2"/>
        </w:numPr>
        <w:spacing w:after="60" w:before="60"/>
      </w:pPr>
      <w:r>
        <w:rPr>
          <w:rFonts w:ascii="Arial" w:cs="Arial" w:eastAsia="Arial" w:hAnsi="Arial"/>
          <w:sz w:val="22"/>
          <w:szCs w:val="22"/>
        </w:rPr>
        <w:t xml:space="preserve">US Equities (broad market + sectors): SPY, QQQ, IWM, XLF, XLE, XLV, XLK, XLI, VUG, VT</w:t>
      </w:r>
    </w:p>
    <w:p>
      <w:pPr>
        <w:pStyle w:val="ListParagraph"/>
        <w:numPr>
          <w:ilvl w:val="0"/>
          <w:numId w:val="2"/>
        </w:numPr>
        <w:spacing w:after="60" w:before="60"/>
      </w:pPr>
      <w:r>
        <w:rPr>
          <w:rFonts w:ascii="Arial" w:cs="Arial" w:eastAsia="Arial" w:hAnsi="Arial"/>
          <w:sz w:val="22"/>
          <w:szCs w:val="22"/>
        </w:rPr>
        <w:t xml:space="preserve">Individual US stocks (mega-cap tech + sectors): NVDA, AAPL, MSFT, AMZN, META, GOOG, TSLA, NFLX, AMD, INTC, QCOM, GS, BAC, WMT, MCD, NKE, CMG, and others</w:t>
      </w:r>
    </w:p>
    <w:p>
      <w:pPr>
        <w:pStyle w:val="ListParagraph"/>
        <w:numPr>
          <w:ilvl w:val="0"/>
          <w:numId w:val="2"/>
        </w:numPr>
        <w:spacing w:after="60" w:before="60"/>
      </w:pPr>
      <w:r>
        <w:rPr>
          <w:rFonts w:ascii="Arial" w:cs="Arial" w:eastAsia="Arial" w:hAnsi="Arial"/>
          <w:sz w:val="22"/>
          <w:szCs w:val="22"/>
        </w:rPr>
        <w:t xml:space="preserve">International Equities: EEM, EFA, FXI, EWJ, EWZ, MELI</w:t>
      </w:r>
    </w:p>
    <w:p>
      <w:pPr>
        <w:pStyle w:val="ListParagraph"/>
        <w:numPr>
          <w:ilvl w:val="0"/>
          <w:numId w:val="2"/>
        </w:numPr>
        <w:spacing w:after="60" w:before="60"/>
      </w:pPr>
      <w:r>
        <w:rPr>
          <w:rFonts w:ascii="Arial" w:cs="Arial" w:eastAsia="Arial" w:hAnsi="Arial"/>
          <w:sz w:val="22"/>
          <w:szCs w:val="22"/>
        </w:rPr>
        <w:t xml:space="preserve">Fixed Income: TLT, IEF, HYG, LQD, EMB</w:t>
      </w:r>
    </w:p>
    <w:p>
      <w:pPr>
        <w:pStyle w:val="ListParagraph"/>
        <w:numPr>
          <w:ilvl w:val="0"/>
          <w:numId w:val="2"/>
        </w:numPr>
        <w:spacing w:after="60" w:before="60"/>
      </w:pPr>
      <w:r>
        <w:rPr>
          <w:rFonts w:ascii="Arial" w:cs="Arial" w:eastAsia="Arial" w:hAnsi="Arial"/>
          <w:sz w:val="22"/>
          <w:szCs w:val="22"/>
        </w:rPr>
        <w:t xml:space="preserve">Commodities &amp; Volatility: GLD, SLV, USO, DBA, PDBC, VIXY</w:t>
      </w:r>
    </w:p>
    <w:p>
      <w:pPr>
        <w:pStyle w:val="ListParagraph"/>
        <w:numPr>
          <w:ilvl w:val="0"/>
          <w:numId w:val="2"/>
        </w:numPr>
        <w:spacing w:after="60" w:before="60"/>
      </w:pPr>
      <w:r>
        <w:rPr>
          <w:rFonts w:ascii="Arial" w:cs="Arial" w:eastAsia="Arial" w:hAnsi="Arial"/>
          <w:sz w:val="22"/>
          <w:szCs w:val="22"/>
        </w:rPr>
        <w:t xml:space="preserve">Real Estate: VNQ, REM</w:t>
      </w:r>
    </w:p>
    <w:p>
      <w:pPr>
        <w:pStyle w:val="Heading2"/>
        <w:spacing w:after="120" w:before="240"/>
      </w:pPr>
      <w:r>
        <w:rPr>
          <w:rFonts w:ascii="Arial" w:cs="Arial" w:eastAsia="Arial" w:hAnsi="Arial"/>
          <w:b/>
          <w:bCs/>
          <w:color w:val="2E75B6"/>
          <w:sz w:val="26"/>
          <w:szCs w:val="26"/>
        </w:rPr>
        <w:t xml:space="preserve">1.6  Backtest Results (2015 – 2026)</w:t>
      </w:r>
    </w:p>
    <w:p>
      <w:pPr>
        <w:spacing w:after="80" w:before="80"/>
      </w:pPr>
      <w:r>
        <w:rPr>
          <w:rFonts w:ascii="Arial" w:cs="Arial" w:eastAsia="Arial" w:hAnsi="Arial"/>
          <w:sz w:val="22"/>
          <w:szCs w:val="22"/>
        </w:rPr>
        <w:t xml:space="preserve">The strategy was backtested on 10 years of daily data. Results are compared against an equal-weight buy-and-hold benchmark of the same universe.</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Momentum L/S</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Equal-Weight B&amp;H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CAGR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9.48%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20.44%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Sharpe Ratio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0.57</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Max Drawdown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-25.94%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-28.20%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Ann. Volatility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19.04%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16.71%</w:t>
            </w:r>
          </w:p>
        </w:tc>
      </w:tr>
    </w:tbl>
    <w:p>
      <w:pPr>
        <w:spacing w:after="80" w:before="160"/>
      </w:pPr>
    </w:p>
    <w:p>
      <w:pPr>
        <w:pStyle w:val="Heading2"/>
        <w:spacing w:after="120" w:before="240"/>
      </w:pPr>
      <w:r>
        <w:rPr>
          <w:rFonts w:ascii="Arial" w:cs="Arial" w:eastAsia="Arial" w:hAnsi="Arial"/>
          <w:b/>
          <w:bCs/>
          <w:color w:val="2E75B6"/>
          <w:sz w:val="26"/>
          <w:szCs w:val="26"/>
        </w:rPr>
        <w:t xml:space="preserve">1.7  Interpretation of Results</w:t>
      </w:r>
    </w:p>
    <w:p>
      <w:pPr>
        <w:spacing w:after="80" w:before="80"/>
      </w:pPr>
      <w:r>
        <w:rPr>
          <w:rFonts w:ascii="Arial" w:cs="Arial" w:eastAsia="Arial" w:hAnsi="Arial"/>
          <w:sz w:val="22"/>
          <w:szCs w:val="22"/>
        </w:rPr>
        <w:t xml:space="preserve">The momentum strategy underperforms the equal-weight benchmark in raw return and Sharpe ratio. This is expected and explainable for three reasons:</w:t>
      </w:r>
    </w:p>
    <w:p>
      <w:pPr>
        <w:pStyle w:val="ListParagraph"/>
        <w:numPr>
          <w:ilvl w:val="0"/>
          <w:numId w:val="2"/>
        </w:numPr>
        <w:spacing w:after="60" w:before="60"/>
      </w:pPr>
      <w:r>
        <w:rPr>
          <w:rFonts w:ascii="Arial" w:cs="Arial" w:eastAsia="Arial" w:hAnsi="Arial"/>
          <w:b/>
          <w:bCs/>
          <w:sz w:val="22"/>
          <w:szCs w:val="22"/>
        </w:rPr>
        <w:t xml:space="preserve">Universe composition bias: </w:t>
      </w:r>
      <w:r>
        <w:rPr>
          <w:rFonts w:ascii="Arial" w:cs="Arial" w:eastAsia="Arial" w:hAnsi="Arial"/>
          <w:sz w:val="22"/>
          <w:szCs w:val="22"/>
        </w:rPr>
        <w:t xml:space="preserve">The equal-weight benchmark is heavily influenced by exceptional individual stocks such as NVDA, META, and AAPL, which compounded at extraordinary rates from 2015 to 2026. A fair benchmark would be SPY alone.</w:t>
      </w:r>
    </w:p>
    <w:p>
      <w:pPr>
        <w:pStyle w:val="ListParagraph"/>
        <w:numPr>
          <w:ilvl w:val="0"/>
          <w:numId w:val="2"/>
        </w:numPr>
        <w:spacing w:after="60" w:before="60"/>
      </w:pPr>
      <w:r>
        <w:rPr>
          <w:rFonts w:ascii="Arial" w:cs="Arial" w:eastAsia="Arial" w:hAnsi="Arial"/>
          <w:b/>
          <w:bCs/>
          <w:sz w:val="22"/>
          <w:szCs w:val="22"/>
        </w:rPr>
        <w:t xml:space="preserve">Long/short structure: </w:t>
      </w:r>
      <w:r>
        <w:rPr>
          <w:rFonts w:ascii="Arial" w:cs="Arial" w:eastAsia="Arial" w:hAnsi="Arial"/>
          <w:sz w:val="22"/>
          <w:szCs w:val="22"/>
        </w:rPr>
        <w:t xml:space="preserve">The momentum strategy is market-neutral — it shorts underperformers while going long outperformers. This reduces gross exposure versus a pure long portfolio, which naturally limits upside in a prolonged bull market.</w:t>
      </w:r>
    </w:p>
    <w:p>
      <w:pPr>
        <w:pStyle w:val="ListParagraph"/>
        <w:numPr>
          <w:ilvl w:val="0"/>
          <w:numId w:val="2"/>
        </w:numPr>
        <w:spacing w:after="60" w:before="60"/>
      </w:pPr>
      <w:r>
        <w:rPr>
          <w:rFonts w:ascii="Arial" w:cs="Arial" w:eastAsia="Arial" w:hAnsi="Arial"/>
          <w:b/>
          <w:bCs/>
          <w:sz w:val="22"/>
          <w:szCs w:val="22"/>
        </w:rPr>
        <w:t xml:space="preserve">Key advantage — drawdown control: </w:t>
      </w:r>
      <w:r>
        <w:rPr>
          <w:rFonts w:ascii="Arial" w:cs="Arial" w:eastAsia="Arial" w:hAnsi="Arial"/>
          <w:sz w:val="22"/>
          <w:szCs w:val="22"/>
        </w:rPr>
        <w:t xml:space="preserve">The momentum strategy achieved a lower max drawdown (-25.94%) than the benchmark (-28.20%) despite the benchmark being diversified across 56 assets. This demonstrates the risk management value of rotating out of losing assets.</w:t>
      </w:r>
    </w:p>
    <w:p>
      <w:pPr>
        <w:spacing w:after="80" w:before="80"/>
      </w:pPr>
      <w:r>
        <w:rPr>
          <w:rFonts w:ascii="Arial" w:cs="Arial" w:eastAsia="Arial" w:hAnsi="Arial"/>
          <w:sz w:val="22"/>
          <w:szCs w:val="22"/>
        </w:rPr>
        <w:t xml:space="preserve">In a real fund context, the momentum strategy would be evaluated on its risk-adjusted return and its correlation to other strategies, not on raw CAGR alone.</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Part 2 — Quantitative Metrics: Meanings &amp; Concepts</w:t>
      </w:r>
    </w:p>
    <w:p>
      <w:pPr>
        <w:pStyle w:val="Heading2"/>
        <w:spacing w:after="120" w:before="240"/>
      </w:pPr>
      <w:r>
        <w:rPr>
          <w:rFonts w:ascii="Arial" w:cs="Arial" w:eastAsia="Arial" w:hAnsi="Arial"/>
          <w:b/>
          <w:bCs/>
          <w:color w:val="2E75B6"/>
          <w:sz w:val="26"/>
          <w:szCs w:val="26"/>
        </w:rPr>
        <w:t xml:space="preserve">2.1  CAGR — Compound Annual Growth Rate</w:t>
      </w:r>
    </w:p>
    <w:p>
      <w:pPr>
        <w:spacing w:after="80" w:before="80"/>
      </w:pPr>
      <w:r>
        <w:rPr>
          <w:rFonts w:ascii="Arial" w:cs="Arial" w:eastAsia="Arial" w:hAnsi="Arial"/>
          <w:sz w:val="22"/>
          <w:szCs w:val="22"/>
        </w:rPr>
        <w:t xml:space="preserve">CAGR measures the annualized rate of return of a portfolio over a given period, assuming all gains are reinvested. It answers the question: if my portfolio grew smoothly every year, what annual return would produce the same final value?</w:t>
      </w:r>
    </w:p>
    <w:p>
      <w:pPr>
        <w:spacing w:after="100" w:before="100"/>
      </w:pPr>
      <w:r>
        <w:rPr>
          <w:rFonts w:ascii="Courier New" w:cs="Courier New" w:eastAsia="Courier New" w:hAnsi="Courier New"/>
          <w:i/>
          <w:iCs/>
          <w:color w:val="333333"/>
          <w:sz w:val="20"/>
          <w:szCs w:val="20"/>
        </w:rPr>
        <w:t xml:space="preserve">Formula: CAGR = (Final Value / Initial Value) ^ (1 / Years) - 1</w:t>
      </w:r>
    </w:p>
    <w:p>
      <w:pPr>
        <w:pStyle w:val="ListParagraph"/>
        <w:numPr>
          <w:ilvl w:val="0"/>
          <w:numId w:val="2"/>
        </w:numPr>
        <w:spacing w:after="60" w:before="60"/>
      </w:pPr>
      <w:r>
        <w:rPr>
          <w:rFonts w:ascii="Arial" w:cs="Arial" w:eastAsia="Arial" w:hAnsi="Arial"/>
          <w:sz w:val="22"/>
          <w:szCs w:val="22"/>
        </w:rPr>
        <w:t xml:space="preserve">A CAGR of 9.48% means the portfolio doubled roughly every 7.5 years</w:t>
      </w:r>
    </w:p>
    <w:p>
      <w:pPr>
        <w:pStyle w:val="ListParagraph"/>
        <w:numPr>
          <w:ilvl w:val="0"/>
          <w:numId w:val="2"/>
        </w:numPr>
        <w:spacing w:after="60" w:before="60"/>
      </w:pPr>
      <w:r>
        <w:rPr>
          <w:rFonts w:ascii="Arial" w:cs="Arial" w:eastAsia="Arial" w:hAnsi="Arial"/>
          <w:sz w:val="22"/>
          <w:szCs w:val="22"/>
        </w:rPr>
        <w:t xml:space="preserve">CAGR ignores volatility — two portfolios can have the same CAGR but very different risk profiles</w:t>
      </w:r>
    </w:p>
    <w:p>
      <w:pPr>
        <w:pStyle w:val="ListParagraph"/>
        <w:numPr>
          <w:ilvl w:val="0"/>
          <w:numId w:val="2"/>
        </w:numPr>
        <w:spacing w:after="60" w:before="60"/>
      </w:pPr>
      <w:r>
        <w:rPr>
          <w:rFonts w:ascii="Arial" w:cs="Arial" w:eastAsia="Arial" w:hAnsi="Arial"/>
          <w:sz w:val="22"/>
          <w:szCs w:val="22"/>
        </w:rPr>
        <w:t xml:space="preserve">In quant finance, CAGR alone is never sufficient; it must be evaluated alongside Sharpe and drawdown</w:t>
      </w:r>
    </w:p>
    <w:p>
      <w:pPr>
        <w:pStyle w:val="Heading2"/>
        <w:spacing w:after="120" w:before="240"/>
      </w:pPr>
      <w:r>
        <w:rPr>
          <w:rFonts w:ascii="Arial" w:cs="Arial" w:eastAsia="Arial" w:hAnsi="Arial"/>
          <w:b/>
          <w:bCs/>
          <w:color w:val="2E75B6"/>
          <w:sz w:val="26"/>
          <w:szCs w:val="26"/>
        </w:rPr>
        <w:t xml:space="preserve">2.2  Sharpe Ratio</w:t>
      </w:r>
    </w:p>
    <w:p>
      <w:pPr>
        <w:spacing w:after="80" w:before="80"/>
      </w:pPr>
      <w:r>
        <w:rPr>
          <w:rFonts w:ascii="Arial" w:cs="Arial" w:eastAsia="Arial" w:hAnsi="Arial"/>
          <w:sz w:val="22"/>
          <w:szCs w:val="22"/>
        </w:rPr>
        <w:t xml:space="preserve">The Sharpe ratio measures risk-adjusted return: how much excess return the strategy earns per unit of volatility. It is the single most commonly cited metric in hedge fund performance reporting.</w:t>
      </w:r>
    </w:p>
    <w:p>
      <w:pPr>
        <w:spacing w:after="100" w:before="100"/>
      </w:pPr>
      <w:r>
        <w:rPr>
          <w:rFonts w:ascii="Courier New" w:cs="Courier New" w:eastAsia="Courier New" w:hAnsi="Courier New"/>
          <w:i/>
          <w:iCs/>
          <w:color w:val="333333"/>
          <w:sz w:val="20"/>
          <w:szCs w:val="20"/>
        </w:rPr>
        <w:t xml:space="preserve">Formula: Sharpe = (Mean Daily Return / Std Daily Return) x sqrt(252)</w:t>
      </w:r>
    </w:p>
    <w:p>
      <w:pPr>
        <w:pStyle w:val="ListParagraph"/>
        <w:numPr>
          <w:ilvl w:val="0"/>
          <w:numId w:val="2"/>
        </w:numPr>
        <w:spacing w:after="60" w:before="60"/>
      </w:pPr>
      <w:r>
        <w:rPr>
          <w:rFonts w:ascii="Arial" w:cs="Arial" w:eastAsia="Arial" w:hAnsi="Arial"/>
          <w:sz w:val="22"/>
          <w:szCs w:val="22"/>
        </w:rPr>
        <w:t xml:space="preserve">Sharpe &lt; 0.5: poor risk-adjusted return</w:t>
      </w:r>
    </w:p>
    <w:p>
      <w:pPr>
        <w:pStyle w:val="ListParagraph"/>
        <w:numPr>
          <w:ilvl w:val="0"/>
          <w:numId w:val="2"/>
        </w:numPr>
        <w:spacing w:after="60" w:before="60"/>
      </w:pPr>
      <w:r>
        <w:rPr>
          <w:rFonts w:ascii="Arial" w:cs="Arial" w:eastAsia="Arial" w:hAnsi="Arial"/>
          <w:sz w:val="22"/>
          <w:szCs w:val="22"/>
        </w:rPr>
        <w:t xml:space="preserve">Sharpe 0.5 - 1.0: acceptable, typical of many systematic strategies</w:t>
      </w:r>
    </w:p>
    <w:p>
      <w:pPr>
        <w:pStyle w:val="ListParagraph"/>
        <w:numPr>
          <w:ilvl w:val="0"/>
          <w:numId w:val="2"/>
        </w:numPr>
        <w:spacing w:after="60" w:before="60"/>
      </w:pPr>
      <w:r>
        <w:rPr>
          <w:rFonts w:ascii="Arial" w:cs="Arial" w:eastAsia="Arial" w:hAnsi="Arial"/>
          <w:sz w:val="22"/>
          <w:szCs w:val="22"/>
        </w:rPr>
        <w:t xml:space="preserve">Sharpe 1.0 - 2.0: good, what most institutional funds target</w:t>
      </w:r>
    </w:p>
    <w:p>
      <w:pPr>
        <w:pStyle w:val="ListParagraph"/>
        <w:numPr>
          <w:ilvl w:val="0"/>
          <w:numId w:val="2"/>
        </w:numPr>
        <w:spacing w:after="60" w:before="60"/>
      </w:pPr>
      <w:r>
        <w:rPr>
          <w:rFonts w:ascii="Arial" w:cs="Arial" w:eastAsia="Arial" w:hAnsi="Arial"/>
          <w:sz w:val="22"/>
          <w:szCs w:val="22"/>
        </w:rPr>
        <w:t xml:space="preserve">Sharpe &gt; 2.0: excellent, rare in practice</w:t>
      </w:r>
    </w:p>
    <w:p>
      <w:pPr>
        <w:pStyle w:val="ListParagraph"/>
        <w:numPr>
          <w:ilvl w:val="0"/>
          <w:numId w:val="2"/>
        </w:numPr>
        <w:spacing w:after="60" w:before="60"/>
      </w:pPr>
      <w:r>
        <w:rPr>
          <w:rFonts w:ascii="Arial" w:cs="Arial" w:eastAsia="Arial" w:hAnsi="Arial"/>
          <w:b/>
          <w:bCs/>
          <w:sz w:val="22"/>
          <w:szCs w:val="22"/>
        </w:rPr>
        <w:t xml:space="preserve">Our result (0.57): </w:t>
      </w:r>
      <w:r>
        <w:rPr>
          <w:rFonts w:ascii="Arial" w:cs="Arial" w:eastAsia="Arial" w:hAnsi="Arial"/>
          <w:sz w:val="22"/>
          <w:szCs w:val="22"/>
        </w:rPr>
        <w:t xml:space="preserve">Acceptable for a first implementation. Real quant funds improve Sharpe through signal combination, better universe construction, and transaction cost optimization.</w:t>
      </w:r>
    </w:p>
    <w:p>
      <w:pPr>
        <w:pStyle w:val="Heading2"/>
        <w:spacing w:after="120" w:before="240"/>
      </w:pPr>
      <w:r>
        <w:rPr>
          <w:rFonts w:ascii="Arial" w:cs="Arial" w:eastAsia="Arial" w:hAnsi="Arial"/>
          <w:b/>
          <w:bCs/>
          <w:color w:val="2E75B6"/>
          <w:sz w:val="26"/>
          <w:szCs w:val="26"/>
        </w:rPr>
        <w:t xml:space="preserve">2.3  Maximum Drawdown</w:t>
      </w:r>
    </w:p>
    <w:p>
      <w:pPr>
        <w:spacing w:after="80" w:before="80"/>
      </w:pPr>
      <w:r>
        <w:rPr>
          <w:rFonts w:ascii="Arial" w:cs="Arial" w:eastAsia="Arial" w:hAnsi="Arial"/>
          <w:sz w:val="22"/>
          <w:szCs w:val="22"/>
        </w:rPr>
        <w:t xml:space="preserve">Maximum drawdown (MDD) is the largest peak-to-trough decline in portfolio value over the entire backtest period. It measures the worst loss an investor would have experienced if they bought at the peak and sold at the trough.</w:t>
      </w:r>
    </w:p>
    <w:p>
      <w:pPr>
        <w:spacing w:after="100" w:before="100"/>
      </w:pPr>
      <w:r>
        <w:rPr>
          <w:rFonts w:ascii="Courier New" w:cs="Courier New" w:eastAsia="Courier New" w:hAnsi="Courier New"/>
          <w:i/>
          <w:iCs/>
          <w:color w:val="333333"/>
          <w:sz w:val="20"/>
          <w:szCs w:val="20"/>
        </w:rPr>
        <w:t xml:space="preserve">Formula: MDD = min( (Value_t - Peak_t) / Peak_t ) over all t</w:t>
      </w:r>
    </w:p>
    <w:p>
      <w:pPr>
        <w:pStyle w:val="ListParagraph"/>
        <w:numPr>
          <w:ilvl w:val="0"/>
          <w:numId w:val="2"/>
        </w:numPr>
        <w:spacing w:after="60" w:before="60"/>
      </w:pPr>
      <w:r>
        <w:rPr>
          <w:rFonts w:ascii="Arial" w:cs="Arial" w:eastAsia="Arial" w:hAnsi="Arial"/>
          <w:sz w:val="22"/>
          <w:szCs w:val="22"/>
        </w:rPr>
        <w:t xml:space="preserve">MDD is arguably the most psychologically important metric — it determines whether investors can stay invested</w:t>
      </w:r>
    </w:p>
    <w:p>
      <w:pPr>
        <w:pStyle w:val="ListParagraph"/>
        <w:numPr>
          <w:ilvl w:val="0"/>
          <w:numId w:val="2"/>
        </w:numPr>
        <w:spacing w:after="60" w:before="60"/>
      </w:pPr>
      <w:r>
        <w:rPr>
          <w:rFonts w:ascii="Arial" w:cs="Arial" w:eastAsia="Arial" w:hAnsi="Arial"/>
          <w:sz w:val="22"/>
          <w:szCs w:val="22"/>
        </w:rPr>
        <w:t xml:space="preserve">A fund with -50% MDD requires a 100% gain just to recover</w:t>
      </w:r>
    </w:p>
    <w:p>
      <w:pPr>
        <w:pStyle w:val="ListParagraph"/>
        <w:numPr>
          <w:ilvl w:val="0"/>
          <w:numId w:val="2"/>
        </w:numPr>
        <w:spacing w:after="60" w:before="60"/>
      </w:pPr>
      <w:r>
        <w:rPr>
          <w:rFonts w:ascii="Arial" w:cs="Arial" w:eastAsia="Arial" w:hAnsi="Arial"/>
          <w:b/>
          <w:bCs/>
          <w:sz w:val="22"/>
          <w:szCs w:val="22"/>
        </w:rPr>
        <w:t xml:space="preserve">Our result (-25.94%): </w:t>
      </w:r>
      <w:r>
        <w:rPr>
          <w:rFonts w:ascii="Arial" w:cs="Arial" w:eastAsia="Arial" w:hAnsi="Arial"/>
          <w:sz w:val="22"/>
          <w:szCs w:val="22"/>
        </w:rPr>
        <w:t xml:space="preserve">The strategy lost at most 26 cents per dollar invested at its worst point. This is lower than the benchmark's -28.20%, which is a meaningful advantage.</w:t>
      </w:r>
    </w:p>
    <w:p>
      <w:pPr>
        <w:pStyle w:val="ListParagraph"/>
        <w:numPr>
          <w:ilvl w:val="0"/>
          <w:numId w:val="2"/>
        </w:numPr>
        <w:spacing w:after="60" w:before="60"/>
      </w:pPr>
      <w:r>
        <w:rPr>
          <w:rFonts w:ascii="Arial" w:cs="Arial" w:eastAsia="Arial" w:hAnsi="Arial"/>
          <w:sz w:val="22"/>
          <w:szCs w:val="22"/>
        </w:rPr>
        <w:t xml:space="preserve">The drawdown chart in the backtest output shows every drawdown period visually — deep troughs correspond to momentum crashes, which historically occur during sharp market reversals</w:t>
      </w:r>
    </w:p>
    <w:p>
      <w:pPr>
        <w:pStyle w:val="Heading2"/>
        <w:spacing w:after="120" w:before="240"/>
      </w:pPr>
      <w:r>
        <w:rPr>
          <w:rFonts w:ascii="Arial" w:cs="Arial" w:eastAsia="Arial" w:hAnsi="Arial"/>
          <w:b/>
          <w:bCs/>
          <w:color w:val="2E75B6"/>
          <w:sz w:val="26"/>
          <w:szCs w:val="26"/>
        </w:rPr>
        <w:t xml:space="preserve">2.4  Annualized Volatility</w:t>
      </w:r>
    </w:p>
    <w:p>
      <w:pPr>
        <w:spacing w:after="80" w:before="80"/>
      </w:pPr>
      <w:r>
        <w:rPr>
          <w:rFonts w:ascii="Arial" w:cs="Arial" w:eastAsia="Arial" w:hAnsi="Arial"/>
          <w:sz w:val="22"/>
          <w:szCs w:val="22"/>
        </w:rPr>
        <w:t xml:space="preserve">Annualized volatility measures the standard deviation of daily returns, scaled to a yearly figure. It quantifies how much the portfolio fluctuates around its average return.</w:t>
      </w:r>
    </w:p>
    <w:p>
      <w:pPr>
        <w:spacing w:after="100" w:before="100"/>
      </w:pPr>
      <w:r>
        <w:rPr>
          <w:rFonts w:ascii="Courier New" w:cs="Courier New" w:eastAsia="Courier New" w:hAnsi="Courier New"/>
          <w:i/>
          <w:iCs/>
          <w:color w:val="333333"/>
          <w:sz w:val="20"/>
          <w:szCs w:val="20"/>
        </w:rPr>
        <w:t xml:space="preserve">Formula: Ann. Vol = Std(daily returns) x sqrt(252)</w:t>
      </w:r>
    </w:p>
    <w:p>
      <w:pPr>
        <w:pStyle w:val="ListParagraph"/>
        <w:numPr>
          <w:ilvl w:val="0"/>
          <w:numId w:val="2"/>
        </w:numPr>
        <w:spacing w:after="60" w:before="60"/>
      </w:pPr>
      <w:r>
        <w:rPr>
          <w:rFonts w:ascii="Arial" w:cs="Arial" w:eastAsia="Arial" w:hAnsi="Arial"/>
          <w:sz w:val="22"/>
          <w:szCs w:val="22"/>
        </w:rPr>
        <w:t xml:space="preserve">Higher volatility = more uncertainty = harder to hold through drawdowns</w:t>
      </w:r>
    </w:p>
    <w:p>
      <w:pPr>
        <w:pStyle w:val="ListParagraph"/>
        <w:numPr>
          <w:ilvl w:val="0"/>
          <w:numId w:val="2"/>
        </w:numPr>
        <w:spacing w:after="60" w:before="60"/>
      </w:pPr>
      <w:r>
        <w:rPr>
          <w:rFonts w:ascii="Arial" w:cs="Arial" w:eastAsia="Arial" w:hAnsi="Arial"/>
          <w:sz w:val="22"/>
          <w:szCs w:val="22"/>
        </w:rPr>
        <w:t xml:space="preserve">The relationship between volatility and Sharpe: lower vol at the same return = higher Sharpe</w:t>
      </w:r>
    </w:p>
    <w:p>
      <w:pPr>
        <w:pStyle w:val="ListParagraph"/>
        <w:numPr>
          <w:ilvl w:val="0"/>
          <w:numId w:val="2"/>
        </w:numPr>
        <w:spacing w:after="60" w:before="60"/>
      </w:pPr>
      <w:r>
        <w:rPr>
          <w:rFonts w:ascii="Arial" w:cs="Arial" w:eastAsia="Arial" w:hAnsi="Arial"/>
          <w:b/>
          <w:bCs/>
          <w:sz w:val="22"/>
          <w:szCs w:val="22"/>
        </w:rPr>
        <w:t xml:space="preserve">Our result (19.04% vs 16.71% benchmark): </w:t>
      </w:r>
      <w:r>
        <w:rPr>
          <w:rFonts w:ascii="Arial" w:cs="Arial" w:eastAsia="Arial" w:hAnsi="Arial"/>
          <w:sz w:val="22"/>
          <w:szCs w:val="22"/>
        </w:rPr>
        <w:t xml:space="preserve">The momentum strategy is slightly more volatile than the equal-weight benchmark. This is partly explained by the short positions amplifying moves during volatile markets.</w:t>
      </w:r>
    </w:p>
    <w:p>
      <w:pPr>
        <w:pStyle w:val="Heading2"/>
        <w:spacing w:after="120" w:before="240"/>
      </w:pPr>
      <w:r>
        <w:rPr>
          <w:rFonts w:ascii="Arial" w:cs="Arial" w:eastAsia="Arial" w:hAnsi="Arial"/>
          <w:b/>
          <w:bCs/>
          <w:color w:val="2E75B6"/>
          <w:sz w:val="26"/>
          <w:szCs w:val="26"/>
        </w:rPr>
        <w:t xml:space="preserve">2.5  Cross-Sectional vs Time-Series Momentum</w:t>
      </w:r>
    </w:p>
    <w:p>
      <w:pPr>
        <w:spacing w:after="80" w:before="80"/>
      </w:pPr>
      <w:r>
        <w:rPr>
          <w:rFonts w:ascii="Arial" w:cs="Arial" w:eastAsia="Arial" w:hAnsi="Arial"/>
          <w:sz w:val="22"/>
          <w:szCs w:val="22"/>
        </w:rPr>
        <w:t xml:space="preserve">There are two distinct types of momentum strategies, and it is important to understand the difference:</w:t>
      </w:r>
    </w:p>
    <w:p>
      <w:pPr>
        <w:pStyle w:val="ListParagraph"/>
        <w:numPr>
          <w:ilvl w:val="0"/>
          <w:numId w:val="2"/>
        </w:numPr>
        <w:spacing w:after="60" w:before="60"/>
      </w:pPr>
      <w:r>
        <w:rPr>
          <w:rFonts w:ascii="Arial" w:cs="Arial" w:eastAsia="Arial" w:hAnsi="Arial"/>
          <w:b/>
          <w:bCs/>
          <w:sz w:val="22"/>
          <w:szCs w:val="22"/>
        </w:rPr>
        <w:t xml:space="preserve">Cross-sectional momentum (what we built): </w:t>
      </w:r>
      <w:r>
        <w:rPr>
          <w:rFonts w:ascii="Arial" w:cs="Arial" w:eastAsia="Arial" w:hAnsi="Arial"/>
          <w:sz w:val="22"/>
          <w:szCs w:val="22"/>
        </w:rPr>
        <w:t xml:space="preserve">Ranks assets against each other at each rebalance date. Goes long the best relative performers and short the worst. The signal is relative — an asset can have a positive absolute return and still be shorted if it ranks in the bottom third.</w:t>
      </w:r>
    </w:p>
    <w:p>
      <w:pPr>
        <w:pStyle w:val="ListParagraph"/>
        <w:numPr>
          <w:ilvl w:val="0"/>
          <w:numId w:val="2"/>
        </w:numPr>
        <w:spacing w:after="60" w:before="60"/>
      </w:pPr>
      <w:r>
        <w:rPr>
          <w:rFonts w:ascii="Arial" w:cs="Arial" w:eastAsia="Arial" w:hAnsi="Arial"/>
          <w:b/>
          <w:bCs/>
          <w:sz w:val="22"/>
          <w:szCs w:val="22"/>
        </w:rPr>
        <w:t xml:space="preserve">Time-series momentum (trend following): </w:t>
      </w:r>
      <w:r>
        <w:rPr>
          <w:rFonts w:ascii="Arial" w:cs="Arial" w:eastAsia="Arial" w:hAnsi="Arial"/>
          <w:sz w:val="22"/>
          <w:szCs w:val="22"/>
        </w:rPr>
        <w:t xml:space="preserve">Compares each asset to its own history. Goes long if the asset's recent return is positive, short if negative. Used by CTA funds and trend-following strategies.</w:t>
      </w:r>
    </w:p>
    <w:p>
      <w:pPr>
        <w:spacing w:after="80" w:before="80"/>
      </w:pPr>
      <w:r>
        <w:rPr>
          <w:rFonts w:ascii="Arial" w:cs="Arial" w:eastAsia="Arial" w:hAnsi="Arial"/>
          <w:sz w:val="22"/>
          <w:szCs w:val="22"/>
        </w:rPr>
        <w:t xml:space="preserve">Cross-sectional momentum is more common in equity long/short hedge funds. Time-series momentum is more common in macro and CTA strategies. Both are planned modules in QuantAlpha.</w:t>
      </w:r>
    </w:p>
    <w:p>
      <w:pPr>
        <w:pStyle w:val="Heading2"/>
        <w:spacing w:after="120" w:before="240"/>
      </w:pPr>
      <w:r>
        <w:rPr>
          <w:rFonts w:ascii="Arial" w:cs="Arial" w:eastAsia="Arial" w:hAnsi="Arial"/>
          <w:b/>
          <w:bCs/>
          <w:color w:val="2E75B6"/>
          <w:sz w:val="26"/>
          <w:szCs w:val="26"/>
        </w:rPr>
        <w:t xml:space="preserve">2.6  The Skip Period (12-1 Momentum)</w:t>
      </w:r>
    </w:p>
    <w:p>
      <w:pPr>
        <w:spacing w:after="80" w:before="80"/>
      </w:pPr>
      <w:r>
        <w:rPr>
          <w:rFonts w:ascii="Arial" w:cs="Arial" w:eastAsia="Arial" w:hAnsi="Arial"/>
          <w:sz w:val="22"/>
          <w:szCs w:val="22"/>
        </w:rPr>
        <w:t xml:space="preserve">The '12-1' notation refers to using a 12-month lookback while skipping the most recent 1 month. This is not arbitrary — it is grounded in empirical finance research.</w:t>
      </w:r>
    </w:p>
    <w:p>
      <w:pPr>
        <w:spacing w:after="80" w:before="80"/>
      </w:pPr>
      <w:r>
        <w:rPr>
          <w:rFonts w:ascii="Arial" w:cs="Arial" w:eastAsia="Arial" w:hAnsi="Arial"/>
          <w:sz w:val="22"/>
          <w:szCs w:val="22"/>
        </w:rPr>
        <w:t xml:space="preserve">The most recent month of returns exhibits short-term reversal: assets that went up strongly last month tend to give back some of those gains in the current month. Including the most recent month in the signal therefore contaminates the momentum effect with this reversal effect, reducing signal quality. Skipping the last month isolates pure momentum.</w:t>
      </w:r>
    </w:p>
    <w:p>
      <w:pPr>
        <w:pStyle w:val="Heading2"/>
        <w:spacing w:after="120" w:before="240"/>
      </w:pPr>
      <w:r>
        <w:rPr>
          <w:rFonts w:ascii="Arial" w:cs="Arial" w:eastAsia="Arial" w:hAnsi="Arial"/>
          <w:b/>
          <w:bCs/>
          <w:color w:val="2E75B6"/>
          <w:sz w:val="26"/>
          <w:szCs w:val="26"/>
        </w:rPr>
        <w:t xml:space="preserve">2.7  Calmar Ratio (planned)</w:t>
      </w:r>
    </w:p>
    <w:p>
      <w:pPr>
        <w:spacing w:after="80" w:before="80"/>
      </w:pPr>
      <w:r>
        <w:rPr>
          <w:rFonts w:ascii="Arial" w:cs="Arial" w:eastAsia="Arial" w:hAnsi="Arial"/>
          <w:sz w:val="22"/>
          <w:szCs w:val="22"/>
        </w:rPr>
        <w:t xml:space="preserve">The Calmar ratio is the ratio of CAGR to maximum drawdown. It answers: how much annual return am I getting per unit of worst-case loss?</w:t>
      </w:r>
    </w:p>
    <w:p>
      <w:pPr>
        <w:spacing w:after="100" w:before="100"/>
      </w:pPr>
      <w:r>
        <w:rPr>
          <w:rFonts w:ascii="Courier New" w:cs="Courier New" w:eastAsia="Courier New" w:hAnsi="Courier New"/>
          <w:i/>
          <w:iCs/>
          <w:color w:val="333333"/>
          <w:sz w:val="20"/>
          <w:szCs w:val="20"/>
        </w:rPr>
        <w:t xml:space="preserve">Formula: Calmar = CAGR / abs(Max Drawdown)</w:t>
      </w:r>
    </w:p>
    <w:p>
      <w:pPr>
        <w:pStyle w:val="ListParagraph"/>
        <w:numPr>
          <w:ilvl w:val="0"/>
          <w:numId w:val="2"/>
        </w:numPr>
        <w:spacing w:after="60" w:before="60"/>
      </w:pPr>
      <w:r>
        <w:rPr>
          <w:rFonts w:ascii="Arial" w:cs="Arial" w:eastAsia="Arial" w:hAnsi="Arial"/>
          <w:sz w:val="22"/>
          <w:szCs w:val="22"/>
        </w:rPr>
        <w:t xml:space="preserve">Our implied Calmar: 9.48% / 25.94% = 0.37 — to be computed and displayed in the next version of the risk module</w:t>
      </w:r>
    </w:p>
    <w:p>
      <w:pPr>
        <w:pStyle w:val="ListParagraph"/>
        <w:numPr>
          <w:ilvl w:val="0"/>
          <w:numId w:val="2"/>
        </w:numPr>
        <w:spacing w:after="60" w:before="60"/>
      </w:pPr>
      <w:r>
        <w:rPr>
          <w:rFonts w:ascii="Arial" w:cs="Arial" w:eastAsia="Arial" w:hAnsi="Arial"/>
          <w:sz w:val="22"/>
          <w:szCs w:val="22"/>
        </w:rPr>
        <w:t xml:space="preserve">Calmar &gt; 1.0 is considered strong</w:t>
      </w:r>
    </w:p>
    <w:p>
      <w:pPr>
        <w:pStyle w:val="Heading2"/>
        <w:spacing w:after="120" w:before="240"/>
      </w:pPr>
      <w:r>
        <w:rPr>
          <w:rFonts w:ascii="Arial" w:cs="Arial" w:eastAsia="Arial" w:hAnsi="Arial"/>
          <w:b/>
          <w:bCs/>
          <w:color w:val="2E75B6"/>
          <w:sz w:val="26"/>
          <w:szCs w:val="26"/>
        </w:rPr>
        <w:t xml:space="preserve">2.8  VaR and CVaR (planned — Risk Module)</w:t>
      </w:r>
    </w:p>
    <w:p>
      <w:pPr>
        <w:spacing w:after="80" w:before="80"/>
      </w:pPr>
      <w:r>
        <w:rPr>
          <w:rFonts w:ascii="Arial" w:cs="Arial" w:eastAsia="Arial" w:hAnsi="Arial"/>
          <w:sz w:val="22"/>
          <w:szCs w:val="22"/>
        </w:rPr>
        <w:t xml:space="preserve">Value at Risk (VaR) and Conditional Value at Risk (CVaR) are the core risk metrics used in institutional finance, and directly relevant to Diego's background at Tanner.</w:t>
      </w:r>
    </w:p>
    <w:p>
      <w:pPr>
        <w:pStyle w:val="ListParagraph"/>
        <w:numPr>
          <w:ilvl w:val="0"/>
          <w:numId w:val="2"/>
        </w:numPr>
        <w:spacing w:after="60" w:before="60"/>
      </w:pPr>
      <w:r>
        <w:rPr>
          <w:rFonts w:ascii="Arial" w:cs="Arial" w:eastAsia="Arial" w:hAnsi="Arial"/>
          <w:b/>
          <w:bCs/>
          <w:sz w:val="22"/>
          <w:szCs w:val="22"/>
        </w:rPr>
        <w:t xml:space="preserve">VaR (95%): </w:t>
      </w:r>
      <w:r>
        <w:rPr>
          <w:rFonts w:ascii="Arial" w:cs="Arial" w:eastAsia="Arial" w:hAnsi="Arial"/>
          <w:sz w:val="22"/>
          <w:szCs w:val="22"/>
        </w:rPr>
        <w:t xml:space="preserve">The maximum loss expected on 95% of trading days. For example, a daily VaR of -1.5% means that 95% of days, the portfolio loses less than 1.5%.</w:t>
      </w:r>
    </w:p>
    <w:p>
      <w:pPr>
        <w:pStyle w:val="ListParagraph"/>
        <w:numPr>
          <w:ilvl w:val="0"/>
          <w:numId w:val="2"/>
        </w:numPr>
        <w:spacing w:after="60" w:before="60"/>
      </w:pPr>
      <w:r>
        <w:rPr>
          <w:rFonts w:ascii="Arial" w:cs="Arial" w:eastAsia="Arial" w:hAnsi="Arial"/>
          <w:b/>
          <w:bCs/>
          <w:sz w:val="22"/>
          <w:szCs w:val="22"/>
        </w:rPr>
        <w:t xml:space="preserve">CVaR (95%): </w:t>
      </w:r>
      <w:r>
        <w:rPr>
          <w:rFonts w:ascii="Arial" w:cs="Arial" w:eastAsia="Arial" w:hAnsi="Arial"/>
          <w:sz w:val="22"/>
          <w:szCs w:val="22"/>
        </w:rPr>
        <w:t xml:space="preserve">The average loss on the worst 5% of days. CVaR is always worse than VaR and gives a better picture of tail risk. Also called Expected Shortfall (ES).</w:t>
      </w:r>
    </w:p>
    <w:p>
      <w:pPr>
        <w:spacing w:after="80" w:before="80"/>
      </w:pPr>
      <w:r>
        <w:rPr>
          <w:rFonts w:ascii="Arial" w:cs="Arial" w:eastAsia="Arial" w:hAnsi="Arial"/>
          <w:sz w:val="22"/>
          <w:szCs w:val="22"/>
        </w:rPr>
        <w:t xml:space="preserve">These metrics will be implemented in the risk/ module, which will add historical VaR, parametric VaR, and CVaR to the backtest output — directly leveraging the VaR engine experience from Tanner.</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Part 3 — Roadmap</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Module</w:t>
            </w:r>
          </w:p>
        </w:tc>
        <w:tc>
          <w:tcPr>
            <w:tcW w:type="dxa" w:w="3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data/loaders/equity.py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Multi-asset price downloader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Done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signals/momentum/cross_sectional.py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12-1 cross-sectional momentum signal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backtest/vectorized.py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Vectorized backtest engine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Next</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risk/metrics.py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VaR, CVaR, Calmar, rolling Sharpe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Planned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signals/mean_reversion/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Pairs trading / z-score reversion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Planned</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signals/options/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Implied vol surface signal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Planned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portfolio/optimizer.py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Mean-variance + risk parity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Planned</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notebooks/tearsheet.py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Full institutional tear sheet</w:t>
            </w:r>
          </w:p>
        </w:tc>
      </w:tr>
    </w:tbl>
    <w:p>
      <w:pPr>
        <w:spacing w:after="0" w:before="240"/>
      </w:pPr>
    </w:p>
    <w:p>
      <w:pPr>
        <w:spacing w:after="80" w:before="80"/>
      </w:pPr>
      <w:r>
        <w:rPr>
          <w:rFonts w:ascii="Arial" w:cs="Arial" w:eastAsia="Arial" w:hAnsi="Arial"/>
          <w:i/>
          <w:iCs/>
          <w:color w:val="666666"/>
          <w:sz w:val="22"/>
          <w:szCs w:val="22"/>
        </w:rPr>
        <w:t xml:space="preserve">Target: complete QuantAlpha v1.0 before MFE applications (2026-2027 cycle).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2026-06-21T07:22:40.361Z</dcterms:created>
  <dcterms:modified xsi:type="dcterms:W3CDTF">2026-06-21T07:22:40.362Z</dcterms:modified>
</cp:coreProperties>
</file>

<file path=docProps/custom.xml><?xml version="1.0" encoding="utf-8"?>
<Properties xmlns="http://schemas.openxmlformats.org/officeDocument/2006/custom-properties" xmlns:vt="http://schemas.openxmlformats.org/officeDocument/2006/docPropsVTypes"/>
</file>