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Factor Exposure Analysis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Fama-French 5-Factor + Momentum Decomposition of the QuantAlpha Momentum Strategy</w:t>
      </w:r>
    </w:p>
    <w:p>
      <w:pPr>
        <w:spacing w:after="32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Diego Mella Valerio  |  June 2026</w:t>
      </w:r>
    </w:p>
    <w:p>
      <w:pPr>
        <w:pBdr>
          <w:bottom w:val="single" w:color="2E75B6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 Purpose of This Analysis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backtest tells you how much a strategy returned. It does not tell you why. Factor analysis answers the deeper and more important question: is the strategy's return the product of genuine skill (alpha), or simply compensation for bearing well-known, cheaply-available risk exposures (beta)?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distinction is central to professional quantitative finance. A fund that charges fees for “alpha” that is really just momentum-factor beta is selling something a client could buy far more cheaply through an index product. Demonstrating that you can separate the two is a core competency expected of any quant trader or portfolio manager.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document decomposes the QuantAlpha cross-sectional momentum strategy using the Fama-French five-factor model augmented with the Carhart momentum factor.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The Model</w:t>
      </w:r>
    </w:p>
    <w:p>
      <w:pPr>
        <w:spacing w:after="100" w:before="100"/>
      </w:pPr>
      <w:r>
        <w:rPr>
          <w:rFonts w:ascii="Courier New" w:cs="Courier New" w:eastAsia="Courier New" w:hAnsi="Courier New"/>
          <w:i/>
          <w:iCs/>
          <w:color w:val="333333"/>
          <w:sz w:val="20"/>
          <w:szCs w:val="20"/>
        </w:rPr>
        <w:t xml:space="preserve">R_strategy − RF = α + β₁(Mkt−RF) + β₂ SMB + β₃ HML + β₄ RMW + β₅ CMA + β₆ Mom + ε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Each term captures a distinct, academically-documented source of return: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Mkt-RF (Market): </w:t>
      </w:r>
      <w:r>
        <w:rPr>
          <w:rFonts w:ascii="Arial" w:cs="Arial" w:eastAsia="Arial" w:hAnsi="Arial"/>
          <w:sz w:val="22"/>
          <w:szCs w:val="22"/>
        </w:rPr>
        <w:t xml:space="preserve">exposure to the broad equity market over the risk-free rate — i.e. plain market beta.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SMB – Small Minus Big (Size): </w:t>
      </w:r>
      <w:r>
        <w:rPr>
          <w:rFonts w:ascii="Arial" w:cs="Arial" w:eastAsia="Arial" w:hAnsi="Arial"/>
          <w:sz w:val="22"/>
          <w:szCs w:val="22"/>
        </w:rPr>
        <w:t xml:space="preserve">the tendency of small-cap stocks to outperform large-cap.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HML – High Minus Low (Value): </w:t>
      </w:r>
      <w:r>
        <w:rPr>
          <w:rFonts w:ascii="Arial" w:cs="Arial" w:eastAsia="Arial" w:hAnsi="Arial"/>
          <w:sz w:val="22"/>
          <w:szCs w:val="22"/>
        </w:rPr>
        <w:t xml:space="preserve">the tendency of cheap (high book-to-market) stocks to outperform expensive ones.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RMW – Robust Minus Weak (Profitability): </w:t>
      </w:r>
      <w:r>
        <w:rPr>
          <w:rFonts w:ascii="Arial" w:cs="Arial" w:eastAsia="Arial" w:hAnsi="Arial"/>
          <w:sz w:val="22"/>
          <w:szCs w:val="22"/>
        </w:rPr>
        <w:t xml:space="preserve">highly profitable firms outperforming weak ones.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CMA – Conservative Minus Aggressive (Investment): </w:t>
      </w:r>
      <w:r>
        <w:rPr>
          <w:rFonts w:ascii="Arial" w:cs="Arial" w:eastAsia="Arial" w:hAnsi="Arial"/>
          <w:sz w:val="22"/>
          <w:szCs w:val="22"/>
        </w:rPr>
        <w:t xml:space="preserve">conservatively-investing firms outperforming aggressive ones.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Mom – Momentum (Carhart): </w:t>
      </w:r>
      <w:r>
        <w:rPr>
          <w:rFonts w:ascii="Arial" w:cs="Arial" w:eastAsia="Arial" w:hAnsi="Arial"/>
          <w:sz w:val="22"/>
          <w:szCs w:val="22"/>
        </w:rPr>
        <w:t xml:space="preserve">recent winners continuing to outperform recent losers — the factor our strategy is built to capture.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α (Alpha): </w:t>
      </w:r>
      <w:r>
        <w:rPr>
          <w:rFonts w:ascii="Arial" w:cs="Arial" w:eastAsia="Arial" w:hAnsi="Arial"/>
          <w:sz w:val="22"/>
          <w:szCs w:val="22"/>
        </w:rPr>
        <w:t xml:space="preserve">the annualized return left unexplained by all six factors. This is the only part that represents true, idiosyncratic skill.</w:t>
      </w:r>
    </w:p>
    <w:p>
      <w:pPr>
        <w:pBdr>
          <w:bottom w:val="single" w:color="2E75B6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 Results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regression was run on 2,848 daily observations (2015–2026). Factor data was sourced from the Kenneth R. French Data Library; strategy returns are the daily returns of the QuantAlpha cross-sectional momentum backtest.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Alpha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Annualized Alpha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−0.21%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Alpha t-statistic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−0.06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Statistical Significance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significant (|t| &lt; 2)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estimated alpha is economically negligible (−0.21% per year) and statistically indistinguishable from zero (t-statistic −0.06, far below the |t| &gt; 2 threshold for significance).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is a meaningful and honest result, not a disappointing one. It demonstrates that after stripping out known risk premia, the strategy produces no excess return — precisely what decades of academic research predict for a straightforward momentum implementation. Claiming false alpha would signal either a coding error or a misunderstanding of the strategy; correctly finding zero alpha signals rigor.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Factor Exposures (Betas)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1700"/>
        <w:gridCol w:w="1500"/>
        <w:gridCol w:w="1360"/>
      </w:tblGrid>
      <w:tr>
        <w:trPr>
          <w:tblHeader/>
        </w:trP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1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Beta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t-stat</w:t>
            </w:r>
          </w:p>
        </w:tc>
        <w:tc>
          <w:tcPr>
            <w:tcW w:type="dxa" w:w="1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Mkt-RF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Market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+0.457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33.52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Momentum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+0.679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46.12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SMB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Size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−0.093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−3.66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HML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Value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−0.086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−3.77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RMW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Profitability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−0.067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−2.16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CMA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Investment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−0.087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−2.31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</w:tbl>
    <w:p>
      <w:pPr>
        <w:spacing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Model fit: </w:t>
      </w:r>
      <w:r>
        <w:rPr>
          <w:rFonts w:ascii="Arial" w:cs="Arial" w:eastAsia="Arial" w:hAnsi="Arial"/>
          <w:sz w:val="22"/>
          <w:szCs w:val="22"/>
        </w:rPr>
        <w:t xml:space="preserve">R² = 0.609 — the six factors jointly explain 60.9% of the strategy's daily return variation. The remaining 39% is idiosyncratic (driven by specific asset selection within the universe), not alpha.</w:t>
      </w:r>
    </w:p>
    <w:p>
      <w:pPr>
        <w:pBdr>
          <w:bottom w:val="single" w:color="2E75B6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 Interpretation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The strategy is, statistically, a momentum-factor replica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momentum beta of +0.68 is by far the largest exposure, with an overwhelming t-statistic of 46.1. This is the single most important finding: the strategy is doing exactly what it was designed to do — it captures the academic momentum premium almost directly. For a first independent implementation, this is strong validation that the signal construction (12-1 cross-sectional ranking) is correct and behaves like the canonical factor.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The strategy is not market-neutral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Despite being long/short by construction, the strategy carries a significant positive market beta of +0.46 (t-statistic 33.5). In other words, roughly half of a unit of market risk is embedded in the portfolio at any time. This is an important and somewhat unexpected limitation: a portfolio one might assume is market-neutral actually tilts net-long the market.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practical consequence is that part of the strategy's historical return came simply from the market rising over 2015–2026, not from the momentum signal. In a production setting this exposure would be explicitly hedged — for example by shorting index futures to bring market beta toward zero — so that the residual return reflects the momentum bet alone.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 Small but consistent style tilts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negative loadings on SMB, HML, RMW and CMA are each statistically significant but economically small (all between −0.07 and −0.09). Together they indicate a mild preference for large-cap, growth-oriented, lower-profitability, aggressively-investing companies. This is consistent with a momentum strategy that, over this particular period, repeatedly rotated into large-cap technology winners such as NVDA, META and AAPL.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 Where the return actually comes from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Combining the pieces: the strategy's return is almost entirely a blend of momentum-factor exposure and market exposure, with no statistically significant alpha and modest style tilts. It is a faithful, well-constructed harvester of known risk premia rather than a source of novel, unexplained edge.</w:t>
      </w:r>
    </w:p>
    <w:p>
      <w:pPr>
        <w:pBdr>
          <w:bottom w:val="single" w:color="2E75B6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 Why This Matters for the Career Goal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single regression demonstrates several skills that MFE admissions committees and quant employers look for and that most candidates cannot show: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Correctly distinguishing alpha from factor beta — the central concept in performance attribution.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Honest reporting of a null alpha result rather than overfitting to manufacture a positive number.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Identifying a hidden risk exposure (net-long market beta) in a strategy assumed to be neutral, and proposing the correct hedge.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Connecting an empirical result back to the underlying academic literature (Fama-French, Carhart).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Interview-Ready Summary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“I implemented a cross-sectional momentum strategy and ran a Fama-French five-factor plus momentum regression on its daily returns. The returns load +0.68 on the momentum factor and +0.46 on the market, with R² of 0.61 and no statistically significant alpha. So the strategy is essentially a correctly-built momentum-factor replica that also carries unintended net-long market exposure I would hedge in production. The exercise confirmed the signal works as intended and surfaced a risk I would not have seen from the backtest alone.”</w:t>
      </w:r>
    </w:p>
    <w:p>
      <w:pPr>
        <w:pBdr>
          <w:bottom w:val="single" w:color="2E75B6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 Limitations of the Analysis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In-sample period only: </w:t>
      </w:r>
      <w:r>
        <w:rPr>
          <w:rFonts w:ascii="Arial" w:cs="Arial" w:eastAsia="Arial" w:hAnsi="Arial"/>
          <w:sz w:val="22"/>
          <w:szCs w:val="22"/>
        </w:rPr>
        <w:t xml:space="preserve">the regression covers 2015–2026, a period dominated by a US equity bull market. Factor loadings can shift across regimes; a 1970s or 2000–2002 sample could look different.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 factors applied to a global universe: </w:t>
      </w:r>
      <w:r>
        <w:rPr>
          <w:rFonts w:ascii="Arial" w:cs="Arial" w:eastAsia="Arial" w:hAnsi="Arial"/>
          <w:sz w:val="22"/>
          <w:szCs w:val="22"/>
        </w:rPr>
        <w:t xml:space="preserve">the universe includes international ETFs (EEM, EFA, EWZ, etc.), but the Fama-French factors used are US factors. A global factor set would be more precise.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Linear model: </w:t>
      </w:r>
      <w:r>
        <w:rPr>
          <w:rFonts w:ascii="Arial" w:cs="Arial" w:eastAsia="Arial" w:hAnsi="Arial"/>
          <w:sz w:val="22"/>
          <w:szCs w:val="22"/>
        </w:rPr>
        <w:t xml:space="preserve">OLS assumes constant, linear factor exposures. In reality the momentum strategy's betas vary with the volatility regime (as the VIX analysis showed), which a rolling or conditional regression would capture.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transaction costs: </w:t>
      </w:r>
      <w:r>
        <w:rPr>
          <w:rFonts w:ascii="Arial" w:cs="Arial" w:eastAsia="Arial" w:hAnsi="Arial"/>
          <w:sz w:val="22"/>
          <w:szCs w:val="22"/>
        </w:rPr>
        <w:t xml:space="preserve">the strategy returns feeding the regression are gross of costs, so the true net alpha would be slightly more negative.</w:t>
      </w:r>
    </w:p>
    <w:p>
      <w:pPr>
        <w:spacing w:before="24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Generated as part of the QuantAlpha project — risk/factors.py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2026-06-30T01:31:20.685Z</dcterms:created>
  <dcterms:modified xsi:type="dcterms:W3CDTF">2026-06-30T01:31:20.697Z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